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华文中宋" w:eastAsia="方正小标宋简体" w:cs="Times New Roman"/>
          <w:b/>
          <w:bCs/>
          <w:sz w:val="48"/>
          <w:szCs w:val="48"/>
          <w:lang w:val="en-US" w:eastAsia="zh-CN"/>
        </w:rPr>
      </w:pPr>
      <w:r>
        <w:rPr>
          <w:rFonts w:hint="eastAsia" w:ascii="方正小标宋简体" w:hAnsi="华文中宋" w:eastAsia="方正小标宋简体" w:cs="Times New Roman"/>
          <w:b/>
          <w:bCs/>
          <w:sz w:val="48"/>
          <w:szCs w:val="48"/>
          <w:lang w:val="en-US" w:eastAsia="zh-CN"/>
        </w:rPr>
        <w:t>财政项目支出绩效评价报告</w:t>
      </w:r>
    </w:p>
    <w:p>
      <w:pPr>
        <w:pStyle w:val="3"/>
        <w:jc w:val="center"/>
        <w:rPr>
          <w:rFonts w:hint="eastAsia" w:ascii="仿宋" w:hAnsi="仿宋" w:eastAsia="仿宋" w:cs="仿宋"/>
          <w:b/>
          <w:bCs w:val="0"/>
          <w:sz w:val="28"/>
          <w:szCs w:val="40"/>
        </w:rPr>
      </w:pPr>
      <w:bookmarkStart w:id="0" w:name="_Toc20212"/>
      <w:bookmarkStart w:id="1" w:name="_Toc32641"/>
      <w:r>
        <w:rPr>
          <w:rFonts w:hint="eastAsia" w:ascii="仿宋" w:hAnsi="仿宋" w:eastAsia="仿宋" w:cs="仿宋"/>
          <w:b/>
          <w:bCs w:val="0"/>
          <w:sz w:val="28"/>
          <w:szCs w:val="40"/>
        </w:rPr>
        <w:t>(南昌市体育局)</w:t>
      </w:r>
      <w:bookmarkEnd w:id="0"/>
      <w:bookmarkEnd w:id="1"/>
    </w:p>
    <w:p>
      <w:pPr>
        <w:rPr>
          <w:rFonts w:hint="eastAsia" w:ascii="黑体" w:hAnsi="宋体" w:eastAsia="黑体" w:cs="Arial"/>
          <w:bCs/>
          <w:sz w:val="32"/>
          <w:szCs w:val="32"/>
        </w:rPr>
      </w:pPr>
    </w:p>
    <w:p>
      <w:pPr>
        <w:spacing w:line="600" w:lineRule="exact"/>
        <w:jc w:val="left"/>
        <w:rPr>
          <w:rFonts w:hint="eastAsia" w:ascii="仿宋" w:hAnsi="仿宋" w:eastAsia="仿宋" w:cs="仿宋"/>
          <w:b/>
          <w:bCs w:val="0"/>
          <w:sz w:val="30"/>
          <w:szCs w:val="30"/>
          <w:u w:val="single"/>
          <w:lang w:val="en-US" w:eastAsia="zh-CN"/>
        </w:rPr>
      </w:pPr>
      <w:r>
        <w:rPr>
          <w:rFonts w:hint="eastAsia" w:ascii="黑体" w:hAnsi="宋体" w:eastAsia="黑体" w:cs="Arial"/>
          <w:bCs/>
          <w:sz w:val="32"/>
          <w:szCs w:val="32"/>
        </w:rPr>
        <w:t>项目名称：</w:t>
      </w:r>
      <w:r>
        <w:rPr>
          <w:rFonts w:hint="eastAsia" w:ascii="黑体" w:hAnsi="黑体" w:eastAsia="黑体" w:cs="黑体"/>
          <w:bCs/>
          <w:sz w:val="32"/>
          <w:szCs w:val="32"/>
          <w:u w:val="single"/>
        </w:rPr>
        <w:t xml:space="preserve"> </w:t>
      </w:r>
      <w:r>
        <w:rPr>
          <w:rFonts w:hint="eastAsia" w:ascii="仿宋" w:hAnsi="仿宋" w:eastAsia="仿宋" w:cs="仿宋"/>
          <w:b/>
          <w:bCs w:val="0"/>
          <w:sz w:val="30"/>
          <w:szCs w:val="30"/>
          <w:u w:val="single"/>
        </w:rPr>
        <w:t>南昌市</w:t>
      </w:r>
      <w:r>
        <w:rPr>
          <w:rFonts w:hint="eastAsia" w:ascii="仿宋" w:hAnsi="仿宋" w:eastAsia="仿宋" w:cs="仿宋"/>
          <w:b/>
          <w:bCs w:val="0"/>
          <w:sz w:val="30"/>
          <w:szCs w:val="30"/>
          <w:u w:val="single"/>
          <w:lang w:val="en-US" w:eastAsia="zh-CN"/>
        </w:rPr>
        <w:t>第二体育学校场馆维修及水电补助</w:t>
      </w:r>
      <w:r>
        <w:rPr>
          <w:rFonts w:hint="eastAsia" w:ascii="仿宋" w:hAnsi="仿宋" w:eastAsia="仿宋" w:cs="仿宋"/>
          <w:b/>
          <w:bCs w:val="0"/>
          <w:sz w:val="30"/>
          <w:szCs w:val="30"/>
          <w:u w:val="single"/>
        </w:rPr>
        <w:t>专项资金</w:t>
      </w:r>
      <w:r>
        <w:rPr>
          <w:rFonts w:hint="eastAsia" w:ascii="仿宋" w:hAnsi="仿宋" w:eastAsia="仿宋" w:cs="仿宋"/>
          <w:b/>
          <w:bCs w:val="0"/>
          <w:sz w:val="30"/>
          <w:szCs w:val="30"/>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rPr>
          <w:rFonts w:hint="eastAsia" w:ascii="黑体" w:hAnsi="宋体" w:eastAsia="黑体" w:cs="Arial"/>
          <w:bCs/>
          <w:sz w:val="32"/>
          <w:szCs w:val="32"/>
        </w:rPr>
      </w:pPr>
      <w:r>
        <w:rPr>
          <w:rFonts w:hint="eastAsia" w:ascii="黑体" w:hAnsi="宋体" w:eastAsia="黑体" w:cs="Arial"/>
          <w:bCs/>
          <w:sz w:val="32"/>
          <w:szCs w:val="32"/>
        </w:rPr>
        <w:t>项目类别：</w:t>
      </w:r>
      <w:r>
        <w:rPr>
          <w:rFonts w:hint="eastAsia" w:ascii="黑体" w:hAnsi="黑体" w:eastAsia="黑体" w:cs="黑体"/>
          <w:bCs/>
          <w:sz w:val="32"/>
          <w:szCs w:val="32"/>
          <w:u w:val="single"/>
        </w:rPr>
        <w:t xml:space="preserve">            </w:t>
      </w:r>
      <w:r>
        <w:rPr>
          <w:rFonts w:hint="eastAsia" w:ascii="仿宋" w:hAnsi="仿宋" w:eastAsia="仿宋" w:cs="仿宋"/>
          <w:b/>
          <w:bCs w:val="0"/>
          <w:sz w:val="30"/>
          <w:szCs w:val="30"/>
          <w:u w:val="single"/>
        </w:rPr>
        <w:t xml:space="preserve"> </w:t>
      </w:r>
      <w:r>
        <w:rPr>
          <w:rFonts w:hint="eastAsia" w:ascii="仿宋" w:hAnsi="仿宋" w:eastAsia="仿宋" w:cs="仿宋"/>
          <w:b/>
          <w:bCs w:val="0"/>
          <w:sz w:val="30"/>
          <w:szCs w:val="30"/>
          <w:u w:val="single"/>
          <w:lang w:val="en-US" w:eastAsia="zh-CN"/>
        </w:rPr>
        <w:t xml:space="preserve"> 社会事业类</w:t>
      </w:r>
      <w:r>
        <w:rPr>
          <w:rFonts w:hint="eastAsia" w:ascii="仿宋" w:hAnsi="仿宋" w:eastAsia="仿宋" w:cs="仿宋"/>
          <w:b/>
          <w:bCs w:val="0"/>
          <w:sz w:val="30"/>
          <w:szCs w:val="30"/>
          <w:u w:val="single"/>
        </w:rPr>
        <w:t xml:space="preserve"> </w:t>
      </w:r>
      <w:r>
        <w:rPr>
          <w:rFonts w:hint="eastAsia" w:ascii="黑体" w:hAnsi="黑体" w:eastAsia="黑体" w:cs="黑体"/>
          <w:bCs/>
          <w:sz w:val="32"/>
          <w:szCs w:val="32"/>
          <w:u w:val="single"/>
        </w:rPr>
        <w:t xml:space="preserve">                            </w:t>
      </w:r>
    </w:p>
    <w:p>
      <w:pPr>
        <w:spacing w:line="600" w:lineRule="exact"/>
        <w:rPr>
          <w:rFonts w:hint="eastAsia" w:ascii="黑体" w:hAnsi="宋体" w:eastAsia="黑体" w:cs="Arial"/>
          <w:bCs/>
          <w:sz w:val="32"/>
          <w:szCs w:val="32"/>
        </w:rPr>
      </w:pPr>
    </w:p>
    <w:p>
      <w:pPr>
        <w:spacing w:line="600" w:lineRule="exact"/>
        <w:jc w:val="left"/>
        <w:rPr>
          <w:rFonts w:hint="default" w:ascii="黑体" w:hAnsi="宋体" w:eastAsia="黑体" w:cs="Arial"/>
          <w:bCs/>
          <w:sz w:val="32"/>
          <w:szCs w:val="32"/>
          <w:lang w:val="en-US"/>
        </w:rPr>
      </w:pPr>
      <w:r>
        <w:rPr>
          <w:rFonts w:hint="eastAsia" w:ascii="黑体" w:hAnsi="宋体" w:eastAsia="黑体" w:cs="Arial"/>
          <w:bCs/>
          <w:sz w:val="32"/>
          <w:szCs w:val="32"/>
        </w:rPr>
        <w:t>实施单位：</w:t>
      </w:r>
      <w:r>
        <w:rPr>
          <w:rFonts w:hint="eastAsia" w:ascii="黑体" w:hAnsi="黑体" w:eastAsia="黑体" w:cs="黑体"/>
          <w:bCs/>
          <w:sz w:val="32"/>
          <w:szCs w:val="32"/>
          <w:u w:val="single"/>
        </w:rPr>
        <w:t xml:space="preserve">    </w:t>
      </w:r>
      <w:r>
        <w:rPr>
          <w:rFonts w:hint="eastAsia" w:ascii="仿宋" w:hAnsi="仿宋" w:eastAsia="仿宋" w:cs="仿宋"/>
          <w:b/>
          <w:bCs w:val="0"/>
          <w:sz w:val="30"/>
          <w:szCs w:val="30"/>
          <w:u w:val="single"/>
        </w:rPr>
        <w:t xml:space="preserve">      南昌市</w:t>
      </w:r>
      <w:r>
        <w:rPr>
          <w:rFonts w:hint="eastAsia" w:ascii="仿宋" w:hAnsi="仿宋" w:eastAsia="仿宋" w:cs="仿宋"/>
          <w:b/>
          <w:bCs w:val="0"/>
          <w:sz w:val="30"/>
          <w:szCs w:val="30"/>
          <w:u w:val="single"/>
          <w:lang w:val="en-US" w:eastAsia="zh-CN"/>
        </w:rPr>
        <w:t xml:space="preserve">第二体育学校  </w:t>
      </w:r>
      <w:r>
        <w:rPr>
          <w:rFonts w:hint="eastAsia" w:ascii="黑体" w:hAnsi="黑体" w:eastAsia="黑体" w:cs="黑体"/>
          <w:bCs/>
          <w:sz w:val="32"/>
          <w:szCs w:val="32"/>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rPr>
          <w:rFonts w:hint="default" w:ascii="黑体" w:hAnsi="宋体" w:eastAsia="黑体" w:cs="Arial"/>
          <w:bCs/>
          <w:sz w:val="32"/>
          <w:szCs w:val="32"/>
          <w:lang w:val="en-US" w:eastAsia="zh-CN"/>
        </w:rPr>
      </w:pPr>
      <w:r>
        <w:rPr>
          <w:rFonts w:hint="eastAsia" w:ascii="黑体" w:hAnsi="宋体" w:eastAsia="黑体" w:cs="Arial"/>
          <w:bCs/>
          <w:sz w:val="32"/>
          <w:szCs w:val="32"/>
        </w:rPr>
        <w:t>主管部门：</w:t>
      </w:r>
      <w:r>
        <w:rPr>
          <w:rFonts w:hint="eastAsia" w:ascii="黑体" w:hAnsi="黑体" w:eastAsia="黑体" w:cs="黑体"/>
          <w:bCs/>
          <w:sz w:val="32"/>
          <w:szCs w:val="32"/>
          <w:u w:val="single"/>
        </w:rPr>
        <w:t xml:space="preserve">        </w:t>
      </w:r>
      <w:r>
        <w:rPr>
          <w:rFonts w:hint="eastAsia" w:ascii="仿宋" w:hAnsi="仿宋" w:eastAsia="仿宋" w:cs="仿宋"/>
          <w:b/>
          <w:bCs w:val="0"/>
          <w:sz w:val="30"/>
          <w:szCs w:val="30"/>
          <w:u w:val="single"/>
        </w:rPr>
        <w:t xml:space="preserve">  </w:t>
      </w:r>
      <w:r>
        <w:rPr>
          <w:rFonts w:hint="eastAsia" w:ascii="仿宋" w:hAnsi="仿宋" w:eastAsia="仿宋" w:cs="仿宋"/>
          <w:b/>
          <w:bCs w:val="0"/>
          <w:sz w:val="30"/>
          <w:szCs w:val="30"/>
          <w:u w:val="single"/>
          <w:lang w:val="en-US" w:eastAsia="zh-CN"/>
        </w:rPr>
        <w:t>南昌市体育局</w:t>
      </w:r>
      <w:r>
        <w:rPr>
          <w:rFonts w:hint="eastAsia" w:ascii="仿宋" w:hAnsi="仿宋" w:eastAsia="仿宋" w:cs="仿宋"/>
          <w:b/>
          <w:bCs w:val="0"/>
          <w:sz w:val="30"/>
          <w:szCs w:val="30"/>
          <w:u w:val="single"/>
        </w:rPr>
        <w:t>（盖章</w:t>
      </w:r>
      <w:r>
        <w:rPr>
          <w:rFonts w:hint="eastAsia" w:ascii="仿宋" w:hAnsi="仿宋" w:eastAsia="仿宋" w:cs="仿宋"/>
          <w:b/>
          <w:bCs w:val="0"/>
          <w:sz w:val="30"/>
          <w:szCs w:val="30"/>
          <w:u w:val="single"/>
          <w:lang w:eastAsia="zh-CN"/>
        </w:rPr>
        <w:t>）</w:t>
      </w:r>
      <w:r>
        <w:rPr>
          <w:rFonts w:hint="eastAsia" w:ascii="仿宋" w:hAnsi="仿宋" w:eastAsia="仿宋" w:cs="仿宋"/>
          <w:b/>
          <w:bCs w:val="0"/>
          <w:sz w:val="30"/>
          <w:szCs w:val="30"/>
          <w:u w:val="single"/>
          <w:lang w:val="en-US" w:eastAsia="zh-CN"/>
        </w:rPr>
        <w:t xml:space="preserve">   </w:t>
      </w:r>
      <w:r>
        <w:rPr>
          <w:rFonts w:hint="eastAsia" w:ascii="黑体" w:hAnsi="黑体" w:eastAsia="黑体" w:cs="黑体"/>
          <w:bCs/>
          <w:sz w:val="32"/>
          <w:szCs w:val="32"/>
          <w:u w:val="single"/>
          <w:lang w:val="en-US" w:eastAsia="zh-CN"/>
        </w:rPr>
        <w:t xml:space="preserve">         </w:t>
      </w:r>
    </w:p>
    <w:p>
      <w:pPr>
        <w:spacing w:line="600" w:lineRule="exact"/>
        <w:rPr>
          <w:rFonts w:hint="eastAsia" w:ascii="黑体" w:hAnsi="宋体" w:eastAsia="黑体" w:cs="Arial"/>
          <w:bCs/>
          <w:sz w:val="32"/>
          <w:szCs w:val="32"/>
        </w:rPr>
      </w:pPr>
    </w:p>
    <w:p>
      <w:pPr>
        <w:spacing w:line="600" w:lineRule="exact"/>
        <w:rPr>
          <w:rFonts w:hint="eastAsia" w:ascii="黑体" w:hAnsi="黑体" w:eastAsia="黑体" w:cs="黑体"/>
          <w:bCs/>
          <w:sz w:val="32"/>
          <w:szCs w:val="32"/>
          <w:u w:val="single"/>
          <w:lang w:val="en-US" w:eastAsia="zh-CN"/>
        </w:rPr>
      </w:pPr>
      <w:r>
        <w:rPr>
          <w:rFonts w:hint="eastAsia" w:ascii="黑体" w:hAnsi="宋体" w:eastAsia="黑体" w:cs="Arial"/>
          <w:bCs/>
          <w:sz w:val="32"/>
          <w:szCs w:val="32"/>
        </w:rPr>
        <w:t>评价机构：</w:t>
      </w:r>
      <w:r>
        <w:rPr>
          <w:rFonts w:hint="eastAsia" w:ascii="黑体" w:hAnsi="黑体" w:eastAsia="黑体" w:cs="黑体"/>
          <w:bCs/>
          <w:sz w:val="32"/>
          <w:szCs w:val="32"/>
          <w:u w:val="single"/>
        </w:rPr>
        <w:t xml:space="preserve">  </w:t>
      </w:r>
      <w:r>
        <w:rPr>
          <w:rFonts w:hint="eastAsia" w:ascii="仿宋" w:hAnsi="仿宋" w:eastAsia="仿宋" w:cs="仿宋"/>
          <w:b/>
          <w:bCs w:val="0"/>
          <w:sz w:val="30"/>
          <w:szCs w:val="30"/>
          <w:u w:val="single"/>
          <w:lang w:val="en-US" w:eastAsia="zh-CN"/>
        </w:rPr>
        <w:t>江西惠普会计师事务所有限责任公司（盖章</w:t>
      </w:r>
      <w:r>
        <w:rPr>
          <w:rFonts w:hint="eastAsia" w:ascii="黑体" w:hAnsi="黑体" w:eastAsia="黑体" w:cs="黑体"/>
          <w:bCs/>
          <w:sz w:val="32"/>
          <w:szCs w:val="32"/>
          <w:u w:val="single"/>
          <w:lang w:val="en-US" w:eastAsia="zh-CN"/>
        </w:rPr>
        <w:t>）</w:t>
      </w:r>
    </w:p>
    <w:p>
      <w:pPr>
        <w:spacing w:line="600" w:lineRule="exact"/>
        <w:rPr>
          <w:rFonts w:hint="default" w:ascii="黑体" w:hAnsi="黑体" w:eastAsia="黑体" w:cs="黑体"/>
          <w:bCs/>
          <w:sz w:val="32"/>
          <w:szCs w:val="32"/>
          <w:u w:val="single"/>
          <w:lang w:val="en-US" w:eastAsia="zh-CN"/>
        </w:rPr>
      </w:pPr>
    </w:p>
    <w:p>
      <w:pPr>
        <w:spacing w:line="600" w:lineRule="exact"/>
        <w:rPr>
          <w:rFonts w:hint="eastAsia" w:ascii="黑体" w:hAnsi="宋体" w:eastAsia="黑体" w:cs="Arial"/>
          <w:bCs/>
          <w:sz w:val="32"/>
          <w:szCs w:val="32"/>
        </w:rPr>
      </w:pPr>
      <w:r>
        <w:rPr>
          <w:rFonts w:hint="eastAsia" w:ascii="黑体" w:hAnsi="宋体" w:eastAsia="黑体" w:cs="Arial"/>
          <w:bCs/>
          <w:sz w:val="32"/>
          <w:szCs w:val="32"/>
        </w:rPr>
        <w:t>评价年度：</w:t>
      </w:r>
      <w:r>
        <w:rPr>
          <w:rFonts w:hint="eastAsia" w:ascii="黑体" w:hAnsi="黑体" w:eastAsia="黑体" w:cs="黑体"/>
          <w:bCs/>
          <w:sz w:val="32"/>
          <w:szCs w:val="32"/>
          <w:u w:val="single"/>
        </w:rPr>
        <w:t xml:space="preserve">         </w:t>
      </w:r>
      <w:r>
        <w:rPr>
          <w:rFonts w:hint="eastAsia" w:ascii="仿宋" w:hAnsi="仿宋" w:eastAsia="仿宋" w:cs="仿宋"/>
          <w:b/>
          <w:bCs w:val="0"/>
          <w:sz w:val="30"/>
          <w:szCs w:val="30"/>
          <w:u w:val="single"/>
          <w:lang w:val="en-US" w:eastAsia="zh-CN"/>
        </w:rPr>
        <w:t xml:space="preserve">      2019年度      </w:t>
      </w:r>
      <w:r>
        <w:rPr>
          <w:rFonts w:hint="eastAsia" w:ascii="黑体" w:hAnsi="黑体" w:eastAsia="黑体" w:cs="黑体"/>
          <w:bCs/>
          <w:sz w:val="32"/>
          <w:szCs w:val="32"/>
          <w:u w:val="single"/>
        </w:rPr>
        <w:t xml:space="preserve">                      </w:t>
      </w:r>
    </w:p>
    <w:p/>
    <w:p/>
    <w:p/>
    <w:p/>
    <w:p/>
    <w:p/>
    <w:p/>
    <w:p/>
    <w:p/>
    <w:p/>
    <w:p/>
    <w:p/>
    <w:p/>
    <w:p>
      <w:pPr>
        <w:spacing w:line="960" w:lineRule="exact"/>
        <w:jc w:val="center"/>
        <w:rPr>
          <w:rFonts w:hint="default"/>
          <w:lang w:val="en-US"/>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〇二〇</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五月</w:t>
      </w:r>
    </w:p>
    <w:p>
      <w:pPr>
        <w:jc w:val="center"/>
        <w:rPr>
          <w:rFonts w:hint="eastAsia" w:ascii="方正小标宋简体" w:hAnsi="华文中宋" w:eastAsia="方正小标宋简体" w:cs="Times New Roman"/>
          <w:b/>
          <w:bCs/>
          <w:sz w:val="36"/>
          <w:szCs w:val="36"/>
          <w:lang w:val="en-US" w:eastAsia="zh-CN"/>
        </w:rPr>
      </w:pPr>
    </w:p>
    <w:p>
      <w:pPr>
        <w:jc w:val="center"/>
        <w:rPr>
          <w:rFonts w:hint="eastAsia" w:ascii="方正小标宋简体" w:hAnsi="华文中宋" w:eastAsia="方正小标宋简体" w:cs="Times New Roman"/>
          <w:b/>
          <w:bCs/>
          <w:sz w:val="36"/>
          <w:szCs w:val="36"/>
          <w:lang w:val="en-US" w:eastAsia="zh-CN"/>
        </w:rPr>
      </w:pPr>
      <w:r>
        <w:rPr>
          <w:rFonts w:hint="eastAsia" w:ascii="方正小标宋简体" w:hAnsi="华文中宋" w:eastAsia="方正小标宋简体" w:cs="Times New Roman"/>
          <w:b/>
          <w:bCs/>
          <w:sz w:val="36"/>
          <w:szCs w:val="36"/>
          <w:lang w:val="en-US" w:eastAsia="zh-CN"/>
        </w:rPr>
        <w:t>报告摘要</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i w:val="0"/>
          <w:caps w:val="0"/>
          <w:color w:val="000000"/>
          <w:spacing w:val="0"/>
          <w:sz w:val="21"/>
          <w:szCs w:val="21"/>
          <w:shd w:val="clear" w:fill="FDFDFD"/>
          <w:lang w:val="en-US" w:eastAsia="zh-CN"/>
        </w:rPr>
      </w:pPr>
      <w:r>
        <w:rPr>
          <w:rFonts w:hint="eastAsia" w:ascii="宋体" w:hAnsi="宋体" w:eastAsia="宋体" w:cs="宋体"/>
          <w:i w:val="0"/>
          <w:caps w:val="0"/>
          <w:color w:val="000000"/>
          <w:spacing w:val="0"/>
          <w:sz w:val="21"/>
          <w:szCs w:val="21"/>
          <w:shd w:val="clear" w:fill="FDFDFD"/>
        </w:rPr>
        <w:t> </w:t>
      </w:r>
      <w:r>
        <w:rPr>
          <w:rFonts w:hint="eastAsia" w:ascii="宋体" w:hAnsi="宋体" w:eastAsia="宋体" w:cs="宋体"/>
          <w:i w:val="0"/>
          <w:caps w:val="0"/>
          <w:color w:val="000000"/>
          <w:spacing w:val="0"/>
          <w:sz w:val="21"/>
          <w:szCs w:val="21"/>
          <w:shd w:val="clear" w:fill="FDFDFD"/>
          <w:lang w:val="en-US" w:eastAsia="zh-CN"/>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财政支出绩效评价是财政科学管理的重要手段，对提高财政资金的规范高效运作程度、增加财政资金的使用效果、促进政府财力的可持续发展以及有效转变政府职能等都具有重大意义。</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default" w:ascii="仿宋_GB2312" w:hAnsi="仿宋" w:eastAsia="仿宋_GB2312" w:cs="Times New Roman"/>
          <w:kern w:val="0"/>
          <w:sz w:val="32"/>
          <w:szCs w:val="32"/>
          <w:lang w:val="en-US" w:eastAsia="zh-CN" w:bidi="ar-SA"/>
        </w:rPr>
      </w:pPr>
      <w:r>
        <w:rPr>
          <w:rFonts w:hint="eastAsia" w:ascii="仿宋_GB2312" w:hAnsi="宋体" w:eastAsia="仿宋_GB2312" w:cs="仿宋_GB2312"/>
          <w:sz w:val="32"/>
          <w:szCs w:val="32"/>
          <w:lang w:val="en-US" w:eastAsia="zh-CN"/>
        </w:rPr>
        <w:t>为了更科学地评价2019年度南昌市第二体育学校场馆维修及水电补助专项资金的绩效成果，提高财政资金安排的科学性，持续高效地开展南昌市第二体育学校场馆使用工作，南昌市体育局响应《中共中央国务院关于全面实施预算绩效管理的意见》（中发[2018]34号）、《财政部关于印发项目支出绩效评价管理办法的通知》（财预〔2020〕10号）、《江西省财政厅关于开展2020年预算绩效管理有关工作的通知》（赣财绩〔2020〕4号）、《中共南昌市委、南昌市人民政府关于全面实施预算绩效管理的意见》（洪发〔2019〕13号）及《南昌市财政局关于开展2019年度市级部门财政项目支出绩效评价工作的通知》（洪财办〔2020〕10号）文件精神，委托江西惠普会计师事务所有限责任公司（以下简称“惠普会计师事务所”）作为第三方评估机构，指导和参与2019年度南昌市第二体育学校场馆维修及水电补助专项资金支出的财政绩效评价</w:t>
      </w:r>
      <w:bookmarkStart w:id="63" w:name="_GoBack"/>
      <w:bookmarkEnd w:id="63"/>
      <w:r>
        <w:rPr>
          <w:rFonts w:hint="eastAsia" w:ascii="仿宋_GB2312" w:hAnsi="宋体" w:eastAsia="仿宋_GB2312" w:cs="仿宋_GB2312"/>
          <w:sz w:val="32"/>
          <w:szCs w:val="32"/>
          <w:lang w:val="en-US" w:eastAsia="zh-CN"/>
        </w:rPr>
        <w:t>工作。</w:t>
      </w:r>
    </w:p>
    <w:p/>
    <w:p/>
    <w:p>
      <w:pPr>
        <w:pStyle w:val="2"/>
      </w:pPr>
    </w:p>
    <w:p>
      <w:pPr>
        <w:pStyle w:val="2"/>
      </w:pPr>
    </w:p>
    <w:p>
      <w:pPr>
        <w:pStyle w:val="2"/>
      </w:pPr>
    </w:p>
    <w:p>
      <w:pPr>
        <w:pStyle w:val="2"/>
      </w:pPr>
    </w:p>
    <w:p>
      <w:pPr>
        <w:pStyle w:val="2"/>
      </w:pPr>
    </w:p>
    <w:p>
      <w:pPr>
        <w:pStyle w:val="2"/>
      </w:pPr>
    </w:p>
    <w:p>
      <w:pPr>
        <w:jc w:val="center"/>
        <w:rPr>
          <w:rFonts w:hint="eastAsia" w:ascii="方正小标宋简体" w:hAnsi="华文中宋" w:eastAsia="方正小标宋简体" w:cs="Times New Roman"/>
          <w:b/>
          <w:bCs/>
          <w:sz w:val="36"/>
          <w:szCs w:val="36"/>
          <w:lang w:val="en-US" w:eastAsia="zh-CN"/>
        </w:rPr>
      </w:pPr>
      <w:r>
        <w:rPr>
          <w:rFonts w:hint="eastAsia" w:ascii="方正小标宋简体" w:hAnsi="华文中宋" w:eastAsia="方正小标宋简体" w:cs="Times New Roman"/>
          <w:b/>
          <w:bCs/>
          <w:sz w:val="36"/>
          <w:szCs w:val="36"/>
          <w:lang w:val="en-US" w:eastAsia="zh-CN"/>
        </w:rPr>
        <w:t>目   录</w:t>
      </w:r>
    </w:p>
    <w:p>
      <w:pPr>
        <w:jc w:val="both"/>
        <w:rPr>
          <w:rFonts w:hint="eastAsia" w:ascii="方正小标宋简体" w:hAnsi="华文中宋" w:eastAsia="方正小标宋简体" w:cs="Times New Roman"/>
          <w:b/>
          <w:bCs/>
          <w:sz w:val="36"/>
          <w:szCs w:val="36"/>
          <w:lang w:val="en-US" w:eastAsia="zh-CN"/>
        </w:rPr>
      </w:pP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00" w:lineRule="exact"/>
        <w:textAlignment w:val="auto"/>
        <w:rPr>
          <w:rFonts w:hint="eastAsia" w:ascii="黑体" w:hAnsi="黑体" w:eastAsia="黑体" w:cs="黑体"/>
          <w:sz w:val="24"/>
          <w:szCs w:val="24"/>
          <w:lang w:val="en-US" w:eastAsia="zh-CN"/>
        </w:rPr>
      </w:pPr>
      <w:r>
        <w:rPr>
          <w:rFonts w:hint="eastAsia" w:ascii="方正小标宋简体" w:hAnsi="华文中宋" w:eastAsia="方正小标宋简体" w:cs="Times New Roman"/>
          <w:b/>
          <w:bCs/>
          <w:sz w:val="24"/>
          <w:szCs w:val="24"/>
          <w:lang w:val="en-US" w:eastAsia="zh-CN"/>
        </w:rPr>
        <w:fldChar w:fldCharType="begin"/>
      </w:r>
      <w:r>
        <w:rPr>
          <w:rFonts w:hint="eastAsia" w:ascii="方正小标宋简体" w:hAnsi="华文中宋" w:eastAsia="方正小标宋简体" w:cs="Times New Roman"/>
          <w:b/>
          <w:bCs/>
          <w:sz w:val="24"/>
          <w:szCs w:val="24"/>
          <w:lang w:val="en-US" w:eastAsia="zh-CN"/>
        </w:rPr>
        <w:instrText xml:space="preserve">TOC \o "1-3" \h \u </w:instrText>
      </w:r>
      <w:r>
        <w:rPr>
          <w:rFonts w:hint="eastAsia" w:ascii="方正小标宋简体" w:hAnsi="华文中宋" w:eastAsia="方正小标宋简体" w:cs="Times New Roman"/>
          <w:b/>
          <w:bCs/>
          <w:sz w:val="24"/>
          <w:szCs w:val="24"/>
          <w:lang w:val="en-US" w:eastAsia="zh-CN"/>
        </w:rPr>
        <w:fldChar w:fldCharType="separate"/>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_Toc20354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一、 项目基本情况</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_Toc20354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1</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_Toc27502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（一) 项目概况</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_Toc27502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1</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_Toc8481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1、 立项背景</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_Toc8481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1</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_Toc1237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3、项目内容、执行标准和实施期限</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_Toc1237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1</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_Toc10179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4、资金投入和使用情况</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_Toc10179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2</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_Toc32648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（二） 项目绩效目标</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_Toc32648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2</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_Toc30331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二、绩效评价工作开展情况</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_Toc30331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2</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_Toc5900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（一）绩效评价目的</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_Toc5900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2</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_Toc25741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（二）绩效评价原则和依据、评价指标体系、评价方法</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_Toc25741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3</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_Toc28699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1、绩效评价原则</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_Toc28699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3</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_Toc11309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2、绩效评价指标体系</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_Toc11309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3</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_Toc27385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3、绩效评价方法</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_Toc27385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4</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_Toc26622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（三）绩效评价工作过程</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_Toc26622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4</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_Toc19809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三、综合评价结果及评价结论</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_Toc19809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5</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_Toc11733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（一)评价结果</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_Toc11733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5</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_Toc10446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（二）评价结论</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_Toc10446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5</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_Toc14416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四、绩效评价指标分析情况</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_Toc14416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6</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_Toc18487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（一） 资金投入情况分析</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_Toc18487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6</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_Toc24110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（二） 产出指标完成情况分析</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_Toc24110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6</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_Toc2161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1、数量指标</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_Toc2161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6</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_Toc19874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2、质量指标</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_Toc19874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6</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_Toc22737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3、 时效指标</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_Toc22737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7</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_Toc29421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4、成本指标</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_Toc29421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7</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_Toc19919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（三） 效益指标完成情况分析</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_Toc19919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7</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_Toc27899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1、经济效益指标</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_Toc27899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7</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_Toc15789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2、社会效益指标</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_Toc15789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8</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_Toc18408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3、生态效益指标</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_Toc18408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8</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_Toc24435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4、 可持续影响指标</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_Toc24435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8</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_Toc13452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（四） 满意度指标</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_Toc13452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9</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sz w:val="24"/>
          <w:szCs w:val="24"/>
        </w:rPr>
      </w:pP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HYPERLINK \l _Toc26309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五、绩效评价结果应用建议</w:t>
      </w:r>
      <w:r>
        <w:rPr>
          <w:rFonts w:hint="eastAsia" w:ascii="黑体" w:hAnsi="黑体" w:eastAsia="黑体" w:cs="黑体"/>
          <w:sz w:val="24"/>
          <w:szCs w:val="24"/>
          <w:lang w:val="en-US" w:eastAsia="zh-CN"/>
        </w:rPr>
        <w:tab/>
      </w:r>
      <w:r>
        <w:rPr>
          <w:rFonts w:hint="eastAsia" w:ascii="黑体" w:hAnsi="黑体" w:eastAsia="黑体" w:cs="黑体"/>
          <w:sz w:val="24"/>
          <w:szCs w:val="24"/>
          <w:lang w:val="en-US" w:eastAsia="zh-CN"/>
        </w:rPr>
        <w:fldChar w:fldCharType="begin"/>
      </w:r>
      <w:r>
        <w:rPr>
          <w:rFonts w:hint="eastAsia" w:ascii="黑体" w:hAnsi="黑体" w:eastAsia="黑体" w:cs="黑体"/>
          <w:sz w:val="24"/>
          <w:szCs w:val="24"/>
          <w:lang w:val="en-US" w:eastAsia="zh-CN"/>
        </w:rPr>
        <w:instrText xml:space="preserve"> PAGEREF _Toc26309 </w:instrText>
      </w:r>
      <w:r>
        <w:rPr>
          <w:rFonts w:hint="eastAsia" w:ascii="黑体" w:hAnsi="黑体" w:eastAsia="黑体" w:cs="黑体"/>
          <w:sz w:val="24"/>
          <w:szCs w:val="24"/>
          <w:lang w:val="en-US" w:eastAsia="zh-CN"/>
        </w:rPr>
        <w:fldChar w:fldCharType="separate"/>
      </w:r>
      <w:r>
        <w:rPr>
          <w:rFonts w:hint="eastAsia" w:ascii="黑体" w:hAnsi="黑体" w:eastAsia="黑体" w:cs="黑体"/>
          <w:sz w:val="24"/>
          <w:szCs w:val="24"/>
          <w:lang w:val="en-US" w:eastAsia="zh-CN"/>
        </w:rPr>
        <w:t>9</w:t>
      </w:r>
      <w:r>
        <w:rPr>
          <w:rFonts w:hint="eastAsia" w:ascii="黑体" w:hAnsi="黑体" w:eastAsia="黑体" w:cs="黑体"/>
          <w:sz w:val="24"/>
          <w:szCs w:val="24"/>
          <w:lang w:val="en-US" w:eastAsia="zh-CN"/>
        </w:rPr>
        <w:fldChar w:fldCharType="end"/>
      </w:r>
      <w:r>
        <w:rPr>
          <w:rFonts w:hint="eastAsia" w:ascii="黑体" w:hAnsi="黑体" w:eastAsia="黑体" w:cs="黑体"/>
          <w:sz w:val="24"/>
          <w:szCs w:val="24"/>
          <w:lang w:val="en-US" w:eastAsia="zh-CN"/>
        </w:rPr>
        <w:fldChar w:fldCharType="end"/>
      </w:r>
    </w:p>
    <w:p>
      <w:pPr>
        <w:jc w:val="center"/>
        <w:rPr>
          <w:rFonts w:hint="eastAsia" w:ascii="黑体" w:hAnsi="黑体" w:eastAsia="黑体" w:cs="黑体"/>
          <w:b w:val="0"/>
          <w:bCs/>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方正小标宋简体" w:hAnsi="华文中宋" w:eastAsia="方正小标宋简体" w:cs="Times New Roman"/>
          <w:bCs/>
          <w:sz w:val="24"/>
          <w:szCs w:val="24"/>
          <w:lang w:val="en-US" w:eastAsia="zh-CN"/>
        </w:rPr>
        <w:fldChar w:fldCharType="end"/>
      </w:r>
      <w:bookmarkStart w:id="2" w:name="_Toc24115"/>
    </w:p>
    <w:p>
      <w:pPr>
        <w:pStyle w:val="3"/>
        <w:keepNext/>
        <w:keepLines/>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ascii="黑体" w:hAnsi="黑体" w:eastAsia="黑体" w:cs="黑体"/>
          <w:b w:val="0"/>
          <w:bCs/>
          <w:lang w:val="en-US" w:eastAsia="zh-CN"/>
        </w:rPr>
      </w:pPr>
      <w:bookmarkStart w:id="3" w:name="_Toc20354"/>
      <w:r>
        <w:rPr>
          <w:rFonts w:hint="eastAsia" w:ascii="黑体" w:hAnsi="黑体" w:eastAsia="黑体" w:cs="黑体"/>
          <w:b w:val="0"/>
          <w:bCs/>
          <w:lang w:val="en-US" w:eastAsia="zh-CN"/>
        </w:rPr>
        <w:t>项目基本情况</w:t>
      </w:r>
      <w:bookmarkEnd w:id="2"/>
      <w:bookmarkEnd w:id="3"/>
    </w:p>
    <w:p>
      <w:pPr>
        <w:pStyle w:val="4"/>
        <w:keepNext/>
        <w:keepLines/>
        <w:pageBreakBefore w:val="0"/>
        <w:widowControl w:val="0"/>
        <w:numPr>
          <w:ilvl w:val="0"/>
          <w:numId w:val="2"/>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4" w:name="_Toc10554"/>
      <w:bookmarkStart w:id="5" w:name="_Toc27502"/>
      <w:r>
        <w:rPr>
          <w:rFonts w:hint="eastAsia" w:ascii="黑体" w:hAnsi="黑体" w:eastAsia="黑体" w:cs="黑体"/>
          <w:b w:val="0"/>
          <w:bCs/>
          <w:lang w:val="en-US" w:eastAsia="zh-CN"/>
        </w:rPr>
        <w:t>项目概况</w:t>
      </w:r>
      <w:bookmarkEnd w:id="4"/>
      <w:bookmarkEnd w:id="5"/>
    </w:p>
    <w:p>
      <w:pPr>
        <w:pStyle w:val="5"/>
        <w:keepNext/>
        <w:keepLines/>
        <w:pageBreakBefore w:val="0"/>
        <w:widowControl w:val="0"/>
        <w:numPr>
          <w:ilvl w:val="0"/>
          <w:numId w:val="3"/>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6" w:name="_Toc8481"/>
      <w:bookmarkStart w:id="7" w:name="_Toc20799"/>
      <w:r>
        <w:rPr>
          <w:rFonts w:hint="eastAsia" w:ascii="黑体" w:hAnsi="黑体" w:eastAsia="黑体" w:cs="黑体"/>
          <w:b w:val="0"/>
          <w:bCs/>
          <w:lang w:val="en-US" w:eastAsia="zh-CN"/>
        </w:rPr>
        <w:t>立项背景</w:t>
      </w:r>
      <w:bookmarkEnd w:id="6"/>
      <w:bookmarkEnd w:id="7"/>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为提高学校体育场馆运营能力，满足体育学校对基础设施完善的需求，以培养优秀体育人才、建设体育强省，特此设立该项资金用于南昌市第二体育学校的场馆维修及水电补助。2019年度南昌市第二体育学校场馆维修及水电补助的立项依据主要为：《南昌市体育局2019年部门预算批复表》。</w:t>
      </w:r>
    </w:p>
    <w:p>
      <w:pPr>
        <w:keepNext w:val="0"/>
        <w:keepLines w:val="0"/>
        <w:pageBreakBefore w:val="0"/>
        <w:widowControl w:val="0"/>
        <w:numPr>
          <w:ilvl w:val="0"/>
          <w:numId w:val="4"/>
        </w:numPr>
        <w:shd w:val="solid" w:color="FFFFFF" w:fill="auto"/>
        <w:kinsoku/>
        <w:wordWrap/>
        <w:overflowPunct/>
        <w:topLinePunct w:val="0"/>
        <w:autoSpaceDE/>
        <w:autoSpaceDN w:val="0"/>
        <w:bidi w:val="0"/>
        <w:adjustRightInd/>
        <w:snapToGrid/>
        <w:spacing w:line="5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立项目的</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00" w:lineRule="exact"/>
        <w:ind w:firstLine="640" w:firstLineChars="200"/>
        <w:textAlignment w:val="auto"/>
        <w:rPr>
          <w:rFonts w:hint="default" w:ascii="黑体" w:hAnsi="黑体" w:eastAsia="黑体" w:cs="黑体"/>
          <w:color w:val="000000" w:themeColor="text1"/>
          <w:sz w:val="32"/>
          <w:szCs w:val="32"/>
          <w:lang w:val="en-US" w:eastAsia="zh-CN"/>
          <w14:textFill>
            <w14:solidFill>
              <w14:schemeClr w14:val="tx1"/>
            </w14:solidFill>
          </w14:textFill>
        </w:rPr>
      </w:pPr>
      <w:r>
        <w:rPr>
          <w:rFonts w:hint="default" w:ascii="仿宋_GB2312" w:hAnsi="宋体" w:eastAsia="仿宋_GB2312" w:cs="仿宋_GB2312"/>
          <w:color w:val="000000" w:themeColor="text1"/>
          <w:kern w:val="2"/>
          <w:sz w:val="32"/>
          <w:szCs w:val="32"/>
          <w:lang w:val="en-US" w:eastAsia="zh-CN" w:bidi="ar-SA"/>
          <w14:textFill>
            <w14:solidFill>
              <w14:schemeClr w14:val="tx1"/>
            </w14:solidFill>
          </w14:textFill>
        </w:rPr>
        <w:t>(一)</w:t>
      </w:r>
      <w:r>
        <w:rPr>
          <w:rFonts w:hint="eastAsia" w:ascii="仿宋_GB2312" w:hAnsi="宋体" w:eastAsia="仿宋_GB2312" w:cs="仿宋_GB2312"/>
          <w:color w:val="000000" w:themeColor="text1"/>
          <w:kern w:val="2"/>
          <w:sz w:val="32"/>
          <w:szCs w:val="32"/>
          <w:lang w:val="en-US" w:eastAsia="zh-CN" w:bidi="ar-SA"/>
          <w14:textFill>
            <w14:solidFill>
              <w14:schemeClr w14:val="tx1"/>
            </w14:solidFill>
          </w14:textFill>
        </w:rPr>
        <w:t>完善水电基础设施配套服务：促进体育学校的基础设施建设，保障学校正常运转。</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color w:val="000000" w:themeColor="text1"/>
          <w:kern w:val="2"/>
          <w:sz w:val="32"/>
          <w:szCs w:val="32"/>
          <w:lang w:val="en-US" w:eastAsia="zh-CN" w:bidi="ar-SA"/>
          <w14:textFill>
            <w14:solidFill>
              <w14:schemeClr w14:val="tx1"/>
            </w14:solidFill>
          </w14:textFill>
        </w:rPr>
      </w:pPr>
      <w:r>
        <w:rPr>
          <w:rFonts w:hint="default" w:ascii="仿宋_GB2312" w:hAnsi="宋体" w:eastAsia="仿宋_GB2312" w:cs="仿宋_GB2312"/>
          <w:color w:val="000000" w:themeColor="text1"/>
          <w:kern w:val="2"/>
          <w:sz w:val="32"/>
          <w:szCs w:val="32"/>
          <w:lang w:val="en-US" w:eastAsia="zh-CN" w:bidi="ar-SA"/>
          <w14:textFill>
            <w14:solidFill>
              <w14:schemeClr w14:val="tx1"/>
            </w14:solidFill>
          </w14:textFill>
        </w:rPr>
        <w:t>(</w:t>
      </w:r>
      <w:r>
        <w:rPr>
          <w:rFonts w:hint="eastAsia" w:ascii="仿宋_GB2312" w:hAnsi="宋体" w:eastAsia="仿宋_GB2312" w:cs="仿宋_GB2312"/>
          <w:color w:val="000000" w:themeColor="text1"/>
          <w:kern w:val="2"/>
          <w:sz w:val="32"/>
          <w:szCs w:val="32"/>
          <w:lang w:val="en-US" w:eastAsia="zh-CN" w:bidi="ar-SA"/>
          <w14:textFill>
            <w14:solidFill>
              <w14:schemeClr w14:val="tx1"/>
            </w14:solidFill>
          </w14:textFill>
        </w:rPr>
        <w:t>二</w:t>
      </w:r>
      <w:r>
        <w:rPr>
          <w:rFonts w:hint="default" w:ascii="仿宋_GB2312" w:hAnsi="宋体" w:eastAsia="仿宋_GB2312" w:cs="仿宋_GB2312"/>
          <w:color w:val="000000" w:themeColor="text1"/>
          <w:kern w:val="2"/>
          <w:sz w:val="32"/>
          <w:szCs w:val="32"/>
          <w:lang w:val="en-US" w:eastAsia="zh-CN" w:bidi="ar-SA"/>
          <w14:textFill>
            <w14:solidFill>
              <w14:schemeClr w14:val="tx1"/>
            </w14:solidFill>
          </w14:textFill>
        </w:rPr>
        <w:t>)</w:t>
      </w:r>
      <w:r>
        <w:rPr>
          <w:rFonts w:hint="eastAsia" w:ascii="仿宋_GB2312" w:hAnsi="宋体" w:eastAsia="仿宋_GB2312" w:cs="仿宋_GB2312"/>
          <w:color w:val="000000" w:themeColor="text1"/>
          <w:kern w:val="2"/>
          <w:sz w:val="32"/>
          <w:szCs w:val="32"/>
          <w:lang w:val="en-US" w:eastAsia="zh-CN" w:bidi="ar-SA"/>
          <w14:textFill>
            <w14:solidFill>
              <w14:schemeClr w14:val="tx1"/>
            </w14:solidFill>
          </w14:textFill>
        </w:rPr>
        <w:t>保障体校学生（运动员）日常训练活动的开展：为运动员训练提供场馆和服务。</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default"/>
          <w:color w:val="000000" w:themeColor="text1"/>
          <w:lang w:val="en-US" w:eastAsia="zh-CN"/>
          <w14:textFill>
            <w14:solidFill>
              <w14:schemeClr w14:val="tx1"/>
            </w14:solidFill>
          </w14:textFill>
        </w:rPr>
      </w:pPr>
      <w:r>
        <w:rPr>
          <w:rFonts w:hint="default" w:ascii="仿宋_GB2312" w:hAnsi="宋体" w:eastAsia="仿宋_GB2312" w:cs="仿宋_GB2312"/>
          <w:color w:val="000000" w:themeColor="text1"/>
          <w:kern w:val="2"/>
          <w:sz w:val="32"/>
          <w:szCs w:val="32"/>
          <w:lang w:val="en-US" w:eastAsia="zh-CN" w:bidi="ar-SA"/>
          <w14:textFill>
            <w14:solidFill>
              <w14:schemeClr w14:val="tx1"/>
            </w14:solidFill>
          </w14:textFill>
        </w:rPr>
        <w:t>(三)</w:t>
      </w:r>
      <w:r>
        <w:rPr>
          <w:rFonts w:hint="eastAsia" w:ascii="仿宋_GB2312" w:hAnsi="宋体" w:eastAsia="仿宋_GB2312" w:cs="仿宋_GB2312"/>
          <w:color w:val="000000" w:themeColor="text1"/>
          <w:kern w:val="2"/>
          <w:sz w:val="32"/>
          <w:szCs w:val="32"/>
          <w:lang w:val="en-US" w:eastAsia="zh-CN" w:bidi="ar-SA"/>
          <w14:textFill>
            <w14:solidFill>
              <w14:schemeClr w14:val="tx1"/>
            </w14:solidFill>
          </w14:textFill>
        </w:rPr>
        <w:t>推动体育部门基础设施经费支出合理合规化。</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8" w:name="_Toc1237"/>
      <w:bookmarkStart w:id="9" w:name="_Toc22369"/>
      <w:bookmarkStart w:id="10" w:name="_Toc25692"/>
      <w:r>
        <w:rPr>
          <w:rFonts w:hint="eastAsia" w:ascii="黑体" w:hAnsi="黑体" w:eastAsia="黑体" w:cs="黑体"/>
          <w:b w:val="0"/>
          <w:bCs/>
          <w:lang w:val="en-US" w:eastAsia="zh-CN"/>
        </w:rPr>
        <w:t>3、项目内容、执行标准和实施期限</w:t>
      </w:r>
      <w:bookmarkEnd w:id="8"/>
      <w:bookmarkEnd w:id="9"/>
      <w:bookmarkEnd w:id="10"/>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（1）项目内容</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2019年南昌市第二体育学校场馆维修及水电补助主要使用于以下两个方面，一是保障场馆全年水电供应；二是保障场馆维修维护工程质量。</w:t>
      </w:r>
    </w:p>
    <w:p>
      <w:pPr>
        <w:keepNext w:val="0"/>
        <w:keepLines w:val="0"/>
        <w:pageBreakBefore w:val="0"/>
        <w:widowControl w:val="0"/>
        <w:numPr>
          <w:ilvl w:val="0"/>
          <w:numId w:val="5"/>
        </w:numPr>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执行标准</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项目按照《体育场馆运营管理办法》实施。</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（3）项目实施期限</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项目实施周期为2019年1月1日至2019年12月31日。</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textAlignment w:val="auto"/>
        <w:rPr>
          <w:rFonts w:hint="eastAsia" w:ascii="仿宋_GB2312" w:hAnsi="宋体" w:eastAsia="仿宋_GB2312" w:cs="仿宋_GB2312"/>
          <w:sz w:val="32"/>
          <w:szCs w:val="32"/>
          <w:lang w:val="en-US" w:eastAsia="zh-CN"/>
        </w:rPr>
      </w:pPr>
    </w:p>
    <w:p>
      <w:pPr>
        <w:pStyle w:val="2"/>
        <w:rPr>
          <w:rFonts w:hint="eastAsia" w:ascii="仿宋_GB2312" w:hAnsi="宋体" w:eastAsia="仿宋_GB2312" w:cs="仿宋_GB2312"/>
          <w:sz w:val="32"/>
          <w:szCs w:val="32"/>
          <w:lang w:val="en-US" w:eastAsia="zh-CN"/>
        </w:rPr>
      </w:pPr>
    </w:p>
    <w:p>
      <w:pPr>
        <w:pStyle w:val="2"/>
        <w:rPr>
          <w:rFonts w:hint="eastAsia" w:ascii="仿宋_GB2312" w:hAnsi="宋体" w:eastAsia="仿宋_GB2312" w:cs="仿宋_GB2312"/>
          <w:sz w:val="32"/>
          <w:szCs w:val="32"/>
          <w:lang w:val="en-US" w:eastAsia="zh-CN"/>
        </w:rPr>
      </w:pP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ind w:leftChars="0"/>
        <w:textAlignment w:val="auto"/>
        <w:rPr>
          <w:rFonts w:hint="eastAsia" w:ascii="黑体" w:hAnsi="黑体" w:eastAsia="黑体" w:cs="黑体"/>
          <w:b w:val="0"/>
          <w:bCs/>
          <w:lang w:val="en-US" w:eastAsia="zh-CN"/>
        </w:rPr>
      </w:pPr>
      <w:bookmarkStart w:id="11" w:name="_Toc10179"/>
      <w:bookmarkStart w:id="12" w:name="_Toc18405"/>
      <w:r>
        <w:rPr>
          <w:rFonts w:hint="eastAsia" w:ascii="黑体" w:hAnsi="黑体" w:eastAsia="黑体" w:cs="黑体"/>
          <w:b w:val="0"/>
          <w:bCs/>
          <w:lang w:val="en-US" w:eastAsia="zh-CN"/>
        </w:rPr>
        <w:t>4、资金投入和使用情况</w:t>
      </w:r>
      <w:bookmarkEnd w:id="11"/>
      <w:bookmarkEnd w:id="12"/>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（1）项目预算情况分析</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根据南昌市财政局关于《南昌市体育局2019年部门预算批复表》文件内容，2019年南昌市第二体育学校场馆维修及水电补助的财政资金为30万元。</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（2）资金到位情况分析</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2019年南昌市第二体育学校场馆维修及水电补助实际到位金额为29.88万元，资金到位率99.6%。</w:t>
      </w:r>
    </w:p>
    <w:p>
      <w:pPr>
        <w:pStyle w:val="4"/>
        <w:keepNext/>
        <w:keepLines/>
        <w:pageBreakBefore w:val="0"/>
        <w:widowControl w:val="0"/>
        <w:numPr>
          <w:ilvl w:val="0"/>
          <w:numId w:val="6"/>
        </w:numPr>
        <w:kinsoku/>
        <w:wordWrap/>
        <w:overflowPunct/>
        <w:topLinePunct w:val="0"/>
        <w:autoSpaceDE/>
        <w:autoSpaceDN/>
        <w:bidi w:val="0"/>
        <w:adjustRightInd/>
        <w:snapToGrid/>
        <w:spacing w:before="0" w:beforeLines="0" w:beforeAutospacing="0" w:after="0" w:afterLines="0" w:afterAutospacing="0" w:line="500" w:lineRule="exact"/>
        <w:textAlignment w:val="auto"/>
        <w:rPr>
          <w:rFonts w:hint="eastAsia" w:ascii="黑体" w:hAnsi="黑体" w:eastAsia="黑体" w:cs="黑体"/>
          <w:b w:val="0"/>
          <w:bCs/>
          <w:szCs w:val="22"/>
          <w:lang w:val="en-US" w:eastAsia="zh-CN"/>
        </w:rPr>
      </w:pPr>
      <w:bookmarkStart w:id="13" w:name="_Toc32648"/>
      <w:bookmarkStart w:id="14" w:name="_Toc32460"/>
      <w:r>
        <w:rPr>
          <w:rFonts w:hint="eastAsia" w:ascii="黑体" w:hAnsi="黑体" w:eastAsia="黑体" w:cs="黑体"/>
          <w:b w:val="0"/>
          <w:bCs/>
          <w:szCs w:val="22"/>
          <w:lang w:val="en-US" w:eastAsia="zh-CN"/>
        </w:rPr>
        <w:t>项目绩效目标</w:t>
      </w:r>
      <w:bookmarkEnd w:id="13"/>
      <w:bookmarkEnd w:id="14"/>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1、项目绩效总目标</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维持场馆的正常运行，保证体育活动的顺利开展，为运动员提供良好的训练环境。</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2、项目阶段性目标</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（1）保证体育场馆的水电运行正常。</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firstLine="640" w:firstLineChars="200"/>
        <w:textAlignment w:val="auto"/>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（2）完善体育场馆基础配套设施。</w:t>
      </w:r>
    </w:p>
    <w:p>
      <w:pPr>
        <w:pStyle w:val="3"/>
        <w:keepNext/>
        <w:keepLines/>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黑体" w:hAnsi="黑体" w:eastAsia="黑体" w:cs="黑体"/>
          <w:sz w:val="36"/>
          <w:szCs w:val="36"/>
        </w:rPr>
      </w:pPr>
      <w:bookmarkStart w:id="15" w:name="_Toc7522"/>
      <w:bookmarkStart w:id="16" w:name="_Toc30331"/>
      <w:r>
        <w:rPr>
          <w:rFonts w:hint="eastAsia" w:ascii="黑体" w:hAnsi="黑体" w:eastAsia="黑体" w:cs="黑体"/>
          <w:sz w:val="36"/>
          <w:szCs w:val="36"/>
        </w:rPr>
        <w:t>二、绩效评价工作</w:t>
      </w:r>
      <w:r>
        <w:rPr>
          <w:rFonts w:hint="eastAsia" w:ascii="黑体" w:hAnsi="黑体" w:eastAsia="黑体" w:cs="黑体"/>
          <w:sz w:val="36"/>
          <w:szCs w:val="36"/>
          <w:lang w:eastAsia="zh-CN"/>
        </w:rPr>
        <w:t>开展</w:t>
      </w:r>
      <w:r>
        <w:rPr>
          <w:rFonts w:hint="eastAsia" w:ascii="黑体" w:hAnsi="黑体" w:eastAsia="黑体" w:cs="黑体"/>
          <w:sz w:val="36"/>
          <w:szCs w:val="36"/>
        </w:rPr>
        <w:t>情况</w:t>
      </w:r>
      <w:bookmarkEnd w:id="15"/>
      <w:bookmarkEnd w:id="16"/>
    </w:p>
    <w:p>
      <w:pPr>
        <w:pStyle w:val="4"/>
        <w:keepNext/>
        <w:keepLines/>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00" w:lineRule="exact"/>
        <w:textAlignment w:val="auto"/>
        <w:rPr>
          <w:rFonts w:hint="eastAsia" w:ascii="黑体" w:hAnsi="黑体" w:eastAsia="黑体" w:cs="黑体"/>
          <w:b w:val="0"/>
          <w:bCs/>
          <w:szCs w:val="22"/>
          <w:lang w:val="en-US" w:eastAsia="zh-CN"/>
        </w:rPr>
      </w:pPr>
      <w:bookmarkStart w:id="17" w:name="_Toc26464"/>
      <w:bookmarkStart w:id="18" w:name="_Toc5900"/>
      <w:r>
        <w:rPr>
          <w:rFonts w:hint="eastAsia" w:ascii="黑体" w:hAnsi="黑体" w:eastAsia="黑体" w:cs="黑体"/>
          <w:b w:val="0"/>
          <w:bCs/>
          <w:szCs w:val="22"/>
          <w:lang w:val="en-US" w:eastAsia="zh-CN"/>
        </w:rPr>
        <w:t>（一）绩效评价目的</w:t>
      </w:r>
      <w:bookmarkEnd w:id="17"/>
      <w:bookmarkEnd w:id="18"/>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本次绩效评价的主要目的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1.掌握2019年度南昌市第二体育学校场馆维修及水电补助的申请拨付以及使用情况；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2.了解2019年度南昌市第二体育学校场馆维修及水电补助项目产出与效果；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3.发现项目经费使用及项目实施中存在的不足和问题，并提出有针对性、可操作的解决对策。</w:t>
      </w:r>
    </w:p>
    <w:p>
      <w:pPr>
        <w:pStyle w:val="4"/>
        <w:keepNext/>
        <w:keepLines/>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00" w:lineRule="exact"/>
        <w:textAlignment w:val="auto"/>
        <w:rPr>
          <w:rFonts w:hint="eastAsia" w:ascii="黑体" w:hAnsi="黑体" w:eastAsia="黑体" w:cs="黑体"/>
          <w:b w:val="0"/>
          <w:bCs/>
          <w:szCs w:val="22"/>
          <w:lang w:val="en-US" w:eastAsia="zh-CN"/>
        </w:rPr>
      </w:pPr>
      <w:bookmarkStart w:id="19" w:name="_Toc25741"/>
      <w:r>
        <w:rPr>
          <w:rFonts w:hint="eastAsia" w:ascii="黑体" w:hAnsi="黑体" w:cs="黑体"/>
          <w:b w:val="0"/>
          <w:bCs/>
          <w:szCs w:val="22"/>
          <w:lang w:val="en-US" w:eastAsia="zh-CN"/>
        </w:rPr>
        <w:t>（</w:t>
      </w:r>
      <w:r>
        <w:rPr>
          <w:rFonts w:hint="eastAsia" w:ascii="黑体" w:hAnsi="黑体" w:eastAsia="黑体" w:cs="黑体"/>
          <w:b w:val="0"/>
          <w:bCs/>
          <w:szCs w:val="22"/>
          <w:lang w:val="en-US" w:eastAsia="zh-CN"/>
        </w:rPr>
        <w:t>二）绩效评价原则和依据、评价指标体系、评价方法</w:t>
      </w:r>
      <w:bookmarkEnd w:id="19"/>
    </w:p>
    <w:p>
      <w:pPr>
        <w:pStyle w:val="5"/>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b/>
          <w:bCs w:val="0"/>
          <w:szCs w:val="22"/>
          <w:lang w:val="en-US" w:eastAsia="zh-CN"/>
        </w:rPr>
      </w:pPr>
      <w:bookmarkStart w:id="20" w:name="_Toc28699"/>
      <w:bookmarkStart w:id="21" w:name="_Toc530"/>
      <w:r>
        <w:rPr>
          <w:rFonts w:hint="eastAsia"/>
          <w:b/>
          <w:bCs w:val="0"/>
          <w:szCs w:val="22"/>
          <w:lang w:val="en-US" w:eastAsia="zh-CN"/>
        </w:rPr>
        <w:t>1、绩效评价原则</w:t>
      </w:r>
      <w:bookmarkEnd w:id="20"/>
      <w:bookmarkEnd w:id="21"/>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（1）科学规范原则。绩效评价应当严格执行规定的程序，按照科学可行的要求，采用定量与定性分析相结合的方法，对项目进行客观的评价。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（2）公正公开原则。绩效评价应当秉持真实、客观、公正的原则，对项目进行公正的反映，依法公开并接受监督。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（3）分级分类原则。绩效评价由各级财政部门、各级预算部门根据评价对象的特点分类组织实施。</w:t>
      </w:r>
    </w:p>
    <w:p>
      <w:pPr>
        <w:pStyle w:val="5"/>
        <w:keepNext/>
        <w:keepLines/>
        <w:pageBreakBefore w:val="0"/>
        <w:widowControl w:val="0"/>
        <w:kinsoku/>
        <w:wordWrap/>
        <w:overflowPunct/>
        <w:topLinePunct w:val="0"/>
        <w:autoSpaceDE/>
        <w:autoSpaceDN/>
        <w:bidi w:val="0"/>
        <w:adjustRightInd/>
        <w:snapToGrid/>
        <w:spacing w:before="0" w:after="0" w:line="500" w:lineRule="exact"/>
        <w:textAlignment w:val="auto"/>
        <w:rPr>
          <w:rFonts w:hint="default" w:ascii="黑体" w:hAnsi="黑体" w:eastAsia="黑体" w:cs="黑体"/>
          <w:b w:val="0"/>
          <w:bCs/>
          <w:lang w:val="en-US" w:eastAsia="zh-CN"/>
        </w:rPr>
      </w:pPr>
      <w:bookmarkStart w:id="22" w:name="_Toc23057"/>
      <w:bookmarkStart w:id="23" w:name="_Toc305"/>
      <w:bookmarkStart w:id="24" w:name="_Toc11309"/>
      <w:r>
        <w:rPr>
          <w:rFonts w:hint="eastAsia" w:ascii="黑体" w:hAnsi="黑体" w:eastAsia="黑体" w:cs="黑体"/>
          <w:b w:val="0"/>
          <w:bCs/>
          <w:lang w:val="en-US" w:eastAsia="zh-CN"/>
        </w:rPr>
        <w:t>2、绩效评价指标体系</w:t>
      </w:r>
      <w:bookmarkEnd w:id="22"/>
      <w:bookmarkEnd w:id="23"/>
      <w:bookmarkEnd w:id="24"/>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根据财政部《预算绩效评价共性指标体系框架》等文件精神，确定本次绩效评价指标的整体框架。其中包括项目投入指标（项目立项、资金落实），项目产出指标（产出数量、产出质量、产出时效、产出成本），项目效益指标（社会效益、生态效益、可持续影响），项目满意度（社会公众或服务对象满意度），再结合项目主管单位确定的工作绩效目标以及项目运行要求等内容，确定本次绩效评价指标体系的三级指标，并与项目主管单位、财政部门等项目相关方进行协商，确定最终全部指标内容。具体详见《项目绩效评分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（1）项目投入：占权重分10分。用于考核预算执行率。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（2）项目产出：占权重50分，分为产出数量、产出质量、产出时效、产出成本四个方面。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（3）项目效果：占权重30分，分为社会效益、生态效益、可持续影响三个方面。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（4）项目满意度：占权重10分，主要是指资金项目的服务对象或公众满意度。</w:t>
      </w:r>
    </w:p>
    <w:p>
      <w:pPr>
        <w:pStyle w:val="5"/>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25" w:name="_Toc27385"/>
      <w:bookmarkStart w:id="26" w:name="_Toc30802"/>
      <w:bookmarkStart w:id="27" w:name="_Toc13380"/>
      <w:r>
        <w:rPr>
          <w:rFonts w:hint="eastAsia" w:ascii="黑体" w:hAnsi="黑体" w:eastAsia="黑体" w:cs="黑体"/>
          <w:b w:val="0"/>
          <w:bCs/>
          <w:lang w:val="en-US" w:eastAsia="zh-CN"/>
        </w:rPr>
        <w:t>3、绩效评价方法</w:t>
      </w:r>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评价主要采用了现场核查、深度访谈、财务审计及问卷调查等方法，以掌握项目详细情况，并对采集的数据做详细的分析和统计。文件核查主要用以核实项目立项的规范性以及项目运行的各项要求，从而确定评价的标准和范围；深度访谈则是和项目相关方的负责人对话，从整体和流程上了解项目的基本情况；财务审计则是通过专业财务人员抽查相关财务凭证，掌握专项经费的使用情况；问卷调查则是采取随机抽样的方法，对项目资金实际受益者进行满意度调查。</w:t>
      </w:r>
    </w:p>
    <w:p>
      <w:pPr>
        <w:pStyle w:val="3"/>
        <w:keepNext/>
        <w:keepLines/>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6"/>
          <w:szCs w:val="36"/>
          <w:lang w:val="en-US" w:eastAsia="zh-CN"/>
        </w:rPr>
      </w:pPr>
      <w:bookmarkStart w:id="28" w:name="_Toc26622"/>
      <w:bookmarkStart w:id="29" w:name="_Toc4963"/>
      <w:r>
        <w:rPr>
          <w:rFonts w:hint="eastAsia" w:ascii="黑体" w:hAnsi="黑体" w:eastAsia="黑体" w:cs="黑体"/>
          <w:sz w:val="36"/>
          <w:szCs w:val="36"/>
          <w:lang w:val="en-US" w:eastAsia="zh-CN"/>
        </w:rPr>
        <w:t>（三）绩效评价工作过程</w:t>
      </w:r>
      <w:bookmarkEnd w:id="28"/>
      <w:bookmarkEnd w:id="29"/>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自2020年5月8日项目布置会以来，评价组在研读项目资料、领悟文件精神、咨询相关专家的基础上，在前期完成了绩效评价工作方案的编制，明确了本次绩效评价的目的、方法、评价的原则、评价标准、时间安排等。评价组严格按照工作方案，通过前期准备、实地核查、满意度调查、数据分析和报告撰写等环节，顺利完成了本次绩效评价报告工作。具体工作过程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（1）前期准备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2020年5月8日至5月15日，属于本次绩效评价的前期准备工作阶段，完成了人员组织、资料准备、工作方案的确定及证据收集方式的确认等一系列工作。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（2）实地核查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szCs w:val="22"/>
          <w:lang w:val="en-US" w:eastAsia="zh-CN"/>
        </w:rPr>
      </w:pPr>
      <w:r>
        <w:rPr>
          <w:rFonts w:hint="eastAsia" w:ascii="仿宋_GB2312" w:hAnsi="宋体" w:eastAsia="仿宋_GB2312" w:cs="仿宋_GB2312"/>
          <w:b w:val="0"/>
          <w:kern w:val="2"/>
          <w:sz w:val="32"/>
          <w:szCs w:val="32"/>
          <w:lang w:val="en-US" w:eastAsia="zh-CN" w:bidi="ar-SA"/>
        </w:rPr>
        <w:t>2020年5月16日至5月20日，属于项目资料核查阶段，主要核查事项包括专项资金的拨付以及使用明细，绩效目标的实现情况，及电话回访下属单位项目的具体执行情况，为后续分析及报告撰写做好铺垫。</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满意度调查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为客观评价2019年度南昌市第二体育学校场馆维修及水电补助专项资金支出的社会效果，评价小组引入满意度调查指标，通过对项目资金实际受益者进行问卷调查，收集意见与建议。</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（3）数据分析及撰写报告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sz w:val="32"/>
          <w:szCs w:val="32"/>
          <w:lang w:val="en-US" w:eastAsia="zh-CN"/>
        </w:rPr>
      </w:pPr>
      <w:r>
        <w:rPr>
          <w:rFonts w:hint="eastAsia" w:ascii="仿宋_GB2312" w:hAnsi="宋体" w:eastAsia="仿宋_GB2312" w:cs="仿宋_GB2312"/>
          <w:b w:val="0"/>
          <w:kern w:val="2"/>
          <w:sz w:val="32"/>
          <w:szCs w:val="32"/>
          <w:lang w:val="en-US" w:eastAsia="zh-CN" w:bidi="ar-SA"/>
        </w:rPr>
        <w:t>评价组根据绩效评价的原理和规范，对采集的数据进行甄别、分析和评分，并提炼结论撰写报告，经过内部评审通过之后，在规定时间内上报委托方，由委托方组织相关专家对报告进行评审。</w:t>
      </w:r>
    </w:p>
    <w:p>
      <w:pPr>
        <w:pStyle w:val="3"/>
        <w:keepNext/>
        <w:keepLines/>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黑体" w:hAnsi="黑体" w:eastAsia="黑体" w:cs="黑体"/>
          <w:b w:val="0"/>
          <w:bCs/>
          <w:lang w:val="en-US" w:eastAsia="zh-CN"/>
        </w:rPr>
      </w:pPr>
      <w:bookmarkStart w:id="30" w:name="_Toc19809"/>
      <w:bookmarkStart w:id="31" w:name="_Toc26373"/>
      <w:bookmarkStart w:id="32" w:name="_Toc32339"/>
      <w:r>
        <w:rPr>
          <w:rFonts w:hint="eastAsia" w:ascii="黑体" w:hAnsi="黑体" w:eastAsia="黑体" w:cs="黑体"/>
          <w:b w:val="0"/>
          <w:bCs/>
          <w:lang w:val="en-US" w:eastAsia="zh-CN"/>
        </w:rPr>
        <w:t>三、综合评价结果及评价结论</w:t>
      </w:r>
      <w:bookmarkEnd w:id="30"/>
      <w:bookmarkEnd w:id="31"/>
      <w:bookmarkEnd w:id="32"/>
    </w:p>
    <w:p>
      <w:pPr>
        <w:pStyle w:val="4"/>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黑体" w:hAnsi="黑体" w:eastAsia="黑体" w:cs="黑体"/>
          <w:b w:val="0"/>
          <w:bCs/>
          <w:lang w:val="en-US" w:eastAsia="zh-CN"/>
        </w:rPr>
      </w:pPr>
      <w:bookmarkStart w:id="33" w:name="_Toc19215"/>
      <w:bookmarkStart w:id="34" w:name="_Toc846"/>
      <w:bookmarkStart w:id="35" w:name="_Toc11733"/>
      <w:r>
        <w:rPr>
          <w:rFonts w:hint="eastAsia" w:ascii="黑体" w:hAnsi="黑体" w:eastAsia="黑体" w:cs="黑体"/>
          <w:b w:val="0"/>
          <w:bCs/>
          <w:lang w:val="en-US" w:eastAsia="zh-CN"/>
        </w:rPr>
        <w:t>（一)评价结果</w:t>
      </w:r>
      <w:bookmarkEnd w:id="33"/>
      <w:bookmarkEnd w:id="34"/>
      <w:bookmarkEnd w:id="35"/>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评价组围绕绩效评价指标体系，通过数据采集分析，财务核查、实地核查及访谈等方式，对该项目绩效进行了客观、公正、合理、有效的评价，最终评价结果为94.96分，依据财政绩效评价等级划分，本项目绩效评价等级为“优”</w:t>
      </w:r>
      <w:bookmarkStart w:id="36" w:name="_Toc18151"/>
      <w:r>
        <w:rPr>
          <w:rFonts w:hint="eastAsia" w:ascii="仿宋_GB2312" w:hAnsi="宋体" w:eastAsia="仿宋_GB2312" w:cs="仿宋_GB2312"/>
          <w:b w:val="0"/>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预算执行权重10分，实际得分为9.96 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产出指标权重50分，实际得分为48分。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效益指标权重30分，实际得分为29分。</w:t>
      </w:r>
    </w:p>
    <w:p>
      <w:pPr>
        <w:pStyle w:val="2"/>
        <w:ind w:firstLine="640" w:firstLineChars="200"/>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满意度指标权重10分，实际得分为8分。</w:t>
      </w:r>
    </w:p>
    <w:p>
      <w:pPr>
        <w:pStyle w:val="4"/>
        <w:keepNext/>
        <w:keepLines/>
        <w:pageBreakBefore w:val="0"/>
        <w:widowControl w:val="0"/>
        <w:kinsoku/>
        <w:wordWrap/>
        <w:overflowPunct/>
        <w:topLinePunct w:val="0"/>
        <w:autoSpaceDE/>
        <w:autoSpaceDN/>
        <w:bidi w:val="0"/>
        <w:adjustRightInd/>
        <w:snapToGrid/>
        <w:spacing w:before="0" w:after="0" w:line="500" w:lineRule="exact"/>
        <w:textAlignment w:val="auto"/>
        <w:rPr>
          <w:rFonts w:hint="default" w:ascii="黑体" w:hAnsi="黑体" w:eastAsia="黑体" w:cs="黑体"/>
          <w:b w:val="0"/>
          <w:bCs/>
          <w:szCs w:val="22"/>
          <w:lang w:val="en-US" w:eastAsia="zh-CN"/>
        </w:rPr>
      </w:pPr>
      <w:bookmarkStart w:id="37" w:name="_Toc10446"/>
      <w:bookmarkStart w:id="38" w:name="_Toc22988"/>
      <w:r>
        <w:rPr>
          <w:rFonts w:hint="eastAsia" w:ascii="黑体" w:hAnsi="黑体" w:eastAsia="黑体" w:cs="黑体"/>
          <w:b w:val="0"/>
          <w:bCs/>
          <w:szCs w:val="22"/>
          <w:lang w:val="en-US" w:eastAsia="zh-CN"/>
        </w:rPr>
        <w:t>（二）评价结论</w:t>
      </w:r>
      <w:bookmarkEnd w:id="36"/>
      <w:bookmarkEnd w:id="37"/>
      <w:bookmarkEnd w:id="38"/>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综合来看，2019年南昌市第二体育学校场馆维修及水电补助专项资金使用效果良好，该项目经费主要用在水电供应和体育场馆维护维修支出方面，经过现场核查，评价组发现，水电供应正常到位；维修改造后的体育场馆设施配套齐全；在校体育生训练秩序井然。</w:t>
      </w:r>
    </w:p>
    <w:p>
      <w:pPr>
        <w:pStyle w:val="3"/>
        <w:keepNext/>
        <w:keepLines/>
        <w:pageBreakBefore w:val="0"/>
        <w:widowControl w:val="0"/>
        <w:numPr>
          <w:ilvl w:val="0"/>
          <w:numId w:val="8"/>
        </w:numPr>
        <w:kinsoku/>
        <w:wordWrap/>
        <w:overflowPunct/>
        <w:topLinePunct w:val="0"/>
        <w:autoSpaceDE/>
        <w:autoSpaceDN/>
        <w:bidi w:val="0"/>
        <w:adjustRightInd/>
        <w:snapToGrid/>
        <w:spacing w:line="500" w:lineRule="exact"/>
        <w:textAlignment w:val="auto"/>
        <w:rPr>
          <w:rFonts w:hint="eastAsia" w:ascii="黑体" w:hAnsi="黑体" w:eastAsia="黑体" w:cs="黑体"/>
          <w:b w:val="0"/>
          <w:bCs/>
          <w:szCs w:val="22"/>
          <w:lang w:val="en-US" w:eastAsia="zh-CN"/>
        </w:rPr>
      </w:pPr>
      <w:bookmarkStart w:id="39" w:name="_Toc14416"/>
      <w:bookmarkStart w:id="40" w:name="_Toc13817"/>
      <w:r>
        <w:rPr>
          <w:rFonts w:hint="eastAsia" w:ascii="黑体" w:hAnsi="黑体" w:eastAsia="黑体" w:cs="黑体"/>
          <w:b w:val="0"/>
          <w:bCs/>
          <w:szCs w:val="22"/>
          <w:lang w:val="en-US" w:eastAsia="zh-CN"/>
        </w:rPr>
        <w:t>绩效评价指标分析情况</w:t>
      </w:r>
      <w:bookmarkEnd w:id="39"/>
      <w:bookmarkEnd w:id="40"/>
    </w:p>
    <w:p>
      <w:pPr>
        <w:pStyle w:val="4"/>
        <w:keepNext/>
        <w:keepLines/>
        <w:pageBreakBefore w:val="0"/>
        <w:widowControl w:val="0"/>
        <w:numPr>
          <w:ilvl w:val="0"/>
          <w:numId w:val="9"/>
        </w:numPr>
        <w:kinsoku/>
        <w:wordWrap/>
        <w:overflowPunct/>
        <w:topLinePunct w:val="0"/>
        <w:autoSpaceDE/>
        <w:autoSpaceDN/>
        <w:bidi w:val="0"/>
        <w:adjustRightInd/>
        <w:snapToGrid/>
        <w:spacing w:before="0" w:after="0" w:line="500" w:lineRule="exact"/>
        <w:textAlignment w:val="auto"/>
        <w:rPr>
          <w:rFonts w:hint="eastAsia"/>
          <w:lang w:val="en-US" w:eastAsia="zh-CN"/>
        </w:rPr>
      </w:pPr>
      <w:r>
        <w:rPr>
          <w:rFonts w:hint="eastAsia"/>
          <w:b w:val="0"/>
          <w:bCs/>
          <w:lang w:val="en-US" w:eastAsia="zh-CN"/>
        </w:rPr>
        <w:t>项目决策情况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该项目符合《体育场馆运营管理办法》的要求，经过部门内部讨论，严格按照程序进行项目的预算申报，并根据项目实际需要和本年度计划工作内容，设定了绩效目标，且目标明确，与预算确定的项目投资额相匹配。</w:t>
      </w:r>
    </w:p>
    <w:p>
      <w:pPr>
        <w:pStyle w:val="4"/>
        <w:keepNext/>
        <w:keepLines/>
        <w:pageBreakBefore w:val="0"/>
        <w:widowControl w:val="0"/>
        <w:numPr>
          <w:ilvl w:val="0"/>
          <w:numId w:val="9"/>
        </w:numPr>
        <w:kinsoku/>
        <w:wordWrap/>
        <w:overflowPunct/>
        <w:topLinePunct w:val="0"/>
        <w:autoSpaceDE/>
        <w:autoSpaceDN/>
        <w:bidi w:val="0"/>
        <w:adjustRightInd/>
        <w:snapToGrid/>
        <w:spacing w:before="0" w:after="0" w:line="500" w:lineRule="exact"/>
        <w:textAlignment w:val="auto"/>
        <w:rPr>
          <w:rFonts w:hint="eastAsia"/>
          <w:lang w:val="en-US" w:eastAsia="zh-CN"/>
        </w:rPr>
      </w:pPr>
      <w:r>
        <w:rPr>
          <w:rFonts w:hint="eastAsia"/>
          <w:b w:val="0"/>
          <w:bCs/>
          <w:lang w:val="en-US" w:eastAsia="zh-CN"/>
        </w:rPr>
        <w:t>项目过程情况</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eastAsia"/>
          <w:lang w:val="en-US" w:eastAsia="zh-CN"/>
        </w:rPr>
      </w:pPr>
      <w:bookmarkStart w:id="41" w:name="_Toc18487"/>
      <w:bookmarkStart w:id="42" w:name="_Toc7543"/>
      <w:bookmarkStart w:id="43" w:name="_Toc13593"/>
      <w:bookmarkStart w:id="44" w:name="_Toc22724"/>
      <w:r>
        <w:rPr>
          <w:rFonts w:hint="eastAsia"/>
          <w:b w:val="0"/>
          <w:bCs/>
          <w:lang w:val="en-US" w:eastAsia="zh-CN"/>
        </w:rPr>
        <w:t>1、预算资金执行率（10分）</w:t>
      </w:r>
      <w:bookmarkEnd w:id="41"/>
      <w:bookmarkEnd w:id="42"/>
      <w:bookmarkEnd w:id="43"/>
    </w:p>
    <w:bookmarkEnd w:id="44"/>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根据《南昌市体育局2019年部门预算批复表》，2019年南昌市第二体育学校场馆维修及水电补助专项资金项目经费安排30万元人民币，场馆水电费和场馆维修维护共支出29.88万元，故该项目预算资金执行率为99.6%，该指标得分9.96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Arial" w:hAnsi="Arial" w:eastAsia="黑体" w:cs="Times New Roman"/>
          <w:b w:val="0"/>
          <w:bCs/>
          <w:kern w:val="2"/>
          <w:sz w:val="32"/>
          <w:szCs w:val="22"/>
          <w:lang w:val="en-US" w:eastAsia="zh-CN" w:bidi="ar-SA"/>
        </w:rPr>
      </w:pPr>
      <w:r>
        <w:rPr>
          <w:rFonts w:hint="eastAsia" w:ascii="Arial" w:hAnsi="Arial" w:eastAsia="黑体" w:cs="Times New Roman"/>
          <w:b w:val="0"/>
          <w:bCs/>
          <w:kern w:val="2"/>
          <w:sz w:val="32"/>
          <w:szCs w:val="22"/>
          <w:lang w:val="en-US" w:eastAsia="zh-CN" w:bidi="ar-SA"/>
        </w:rPr>
        <w:t>2、财务管理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lang w:val="en-US" w:eastAsia="zh-CN"/>
        </w:rPr>
      </w:pPr>
      <w:r>
        <w:rPr>
          <w:rFonts w:hint="eastAsia" w:ascii="仿宋_GB2312" w:hAnsi="宋体" w:eastAsia="仿宋_GB2312" w:cs="仿宋_GB2312"/>
          <w:b w:val="0"/>
          <w:kern w:val="2"/>
          <w:sz w:val="32"/>
          <w:szCs w:val="32"/>
          <w:lang w:val="en-US" w:eastAsia="zh-CN" w:bidi="ar-SA"/>
        </w:rPr>
        <w:t>该项目严格按照南昌市第二体育运动学校财务管理制度的要求，实行专款专用。该项目资金的申请、审核、拨付规范、不存在杜绝挤占、挪用等违规行为。</w:t>
      </w:r>
    </w:p>
    <w:p>
      <w:pPr>
        <w:pStyle w:val="4"/>
        <w:keepNext/>
        <w:keepLines/>
        <w:pageBreakBefore w:val="0"/>
        <w:widowControl w:val="0"/>
        <w:numPr>
          <w:ilvl w:val="0"/>
          <w:numId w:val="9"/>
        </w:numPr>
        <w:kinsoku/>
        <w:wordWrap/>
        <w:overflowPunct/>
        <w:topLinePunct w:val="0"/>
        <w:autoSpaceDE/>
        <w:autoSpaceDN/>
        <w:bidi w:val="0"/>
        <w:adjustRightInd/>
        <w:snapToGrid/>
        <w:spacing w:before="0" w:after="0" w:line="500" w:lineRule="exact"/>
        <w:textAlignment w:val="auto"/>
        <w:rPr>
          <w:rFonts w:hint="eastAsia"/>
          <w:b w:val="0"/>
          <w:bCs/>
          <w:lang w:val="en-US" w:eastAsia="zh-CN"/>
        </w:rPr>
      </w:pPr>
      <w:bookmarkStart w:id="45" w:name="_Toc13649"/>
      <w:bookmarkStart w:id="46" w:name="_Toc24110"/>
      <w:bookmarkStart w:id="47" w:name="_Toc29533"/>
      <w:r>
        <w:rPr>
          <w:rFonts w:hint="eastAsia"/>
          <w:b w:val="0"/>
          <w:bCs/>
          <w:lang w:val="en-US" w:eastAsia="zh-CN"/>
        </w:rPr>
        <w:t>产出指标完成情况分析</w:t>
      </w:r>
      <w:bookmarkEnd w:id="45"/>
      <w:r>
        <w:rPr>
          <w:rFonts w:hint="eastAsia"/>
          <w:b w:val="0"/>
          <w:bCs/>
          <w:lang w:val="en-US" w:eastAsia="zh-CN"/>
        </w:rPr>
        <w:t>（50分）</w:t>
      </w:r>
      <w:bookmarkEnd w:id="46"/>
      <w:bookmarkEnd w:id="47"/>
    </w:p>
    <w:p>
      <w:pPr>
        <w:pStyle w:val="5"/>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b/>
          <w:bCs w:val="0"/>
          <w:szCs w:val="22"/>
          <w:lang w:val="en-US" w:eastAsia="zh-CN"/>
        </w:rPr>
      </w:pPr>
      <w:bookmarkStart w:id="48" w:name="_Toc2874"/>
      <w:bookmarkStart w:id="49" w:name="_Toc2161"/>
      <w:r>
        <w:rPr>
          <w:rFonts w:hint="eastAsia"/>
          <w:b/>
          <w:bCs w:val="0"/>
          <w:szCs w:val="22"/>
          <w:lang w:val="en-US" w:eastAsia="zh-CN"/>
        </w:rPr>
        <w:t>1、数量指标（20分）</w:t>
      </w:r>
      <w:bookmarkEnd w:id="48"/>
      <w:bookmarkEnd w:id="49"/>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A、水电供应（10分）</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00" w:lineRule="exact"/>
        <w:ind w:firstLine="643"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保障场馆全年水电正常供应。</w:t>
      </w:r>
      <w:r>
        <w:rPr>
          <w:rFonts w:hint="eastAsia" w:ascii="仿宋_GB2312" w:hAnsi="宋体" w:eastAsia="仿宋_GB2312" w:cs="仿宋_GB2312"/>
          <w:b w:val="0"/>
          <w:kern w:val="2"/>
          <w:sz w:val="32"/>
          <w:szCs w:val="32"/>
          <w:lang w:val="en-US" w:eastAsia="zh-CN" w:bidi="ar-SA"/>
        </w:rPr>
        <w:t>经核实，2019年南昌市第二体育运动学校全年运作良好，环境优美，能够满足日常体育活动的开展。设定分值为10分，该项指标得10分。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仿宋_GB2312" w:hAnsi="宋体" w:eastAsia="仿宋_GB2312" w:cs="仿宋_GB2312"/>
          <w:kern w:val="2"/>
          <w:sz w:val="32"/>
          <w:szCs w:val="32"/>
          <w:lang w:val="en-US" w:eastAsia="zh-CN" w:bidi="ar-SA"/>
        </w:rPr>
      </w:pPr>
      <w:r>
        <w:rPr>
          <w:rFonts w:hint="eastAsia" w:ascii="仿宋_GB2312" w:hAnsi="宋体" w:eastAsia="仿宋_GB2312" w:cs="仿宋_GB2312"/>
          <w:b/>
          <w:bCs/>
          <w:kern w:val="2"/>
          <w:sz w:val="32"/>
          <w:szCs w:val="32"/>
          <w:lang w:val="en-US" w:eastAsia="zh-CN" w:bidi="ar-SA"/>
        </w:rPr>
        <w:t>B、场馆维修维护（10分）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仿宋_GB2312" w:hAnsi="宋体" w:eastAsia="仿宋_GB2312" w:cs="仿宋_GB2312"/>
          <w:kern w:val="2"/>
          <w:sz w:val="32"/>
          <w:szCs w:val="32"/>
          <w:lang w:val="en-US" w:eastAsia="zh-CN" w:bidi="ar-SA"/>
        </w:rPr>
      </w:pPr>
      <w:r>
        <w:rPr>
          <w:rFonts w:hint="eastAsia" w:ascii="仿宋_GB2312" w:hAnsi="宋体" w:eastAsia="仿宋_GB2312" w:cs="仿宋_GB2312"/>
          <w:b/>
          <w:bCs/>
          <w:kern w:val="2"/>
          <w:sz w:val="32"/>
          <w:szCs w:val="32"/>
          <w:lang w:val="en-US" w:eastAsia="zh-CN" w:bidi="ar-SA"/>
        </w:rPr>
        <w:t xml:space="preserve">  </w:t>
      </w:r>
      <w:r>
        <w:rPr>
          <w:rFonts w:hint="eastAsia" w:ascii="仿宋_GB2312" w:hAnsi="宋体" w:eastAsia="仿宋_GB2312" w:cs="仿宋_GB2312"/>
          <w:b w:val="0"/>
          <w:kern w:val="2"/>
          <w:sz w:val="32"/>
          <w:szCs w:val="32"/>
          <w:lang w:val="en-US" w:eastAsia="zh-CN" w:bidi="ar-SA"/>
        </w:rPr>
        <w:t xml:space="preserve">  </w:t>
      </w:r>
      <w:r>
        <w:rPr>
          <w:rFonts w:hint="eastAsia" w:ascii="仿宋_GB2312" w:hAnsi="宋体" w:eastAsia="仿宋_GB2312" w:cs="仿宋_GB2312"/>
          <w:b/>
          <w:bCs/>
          <w:kern w:val="2"/>
          <w:sz w:val="32"/>
          <w:szCs w:val="32"/>
          <w:lang w:val="en-US" w:eastAsia="zh-CN" w:bidi="ar-SA"/>
        </w:rPr>
        <w:t>体育场馆维修维护次数不低于三次。</w:t>
      </w:r>
      <w:r>
        <w:rPr>
          <w:rFonts w:hint="eastAsia" w:ascii="仿宋_GB2312" w:hAnsi="宋体" w:eastAsia="仿宋_GB2312" w:cs="仿宋_GB2312"/>
          <w:b w:val="0"/>
          <w:kern w:val="2"/>
          <w:sz w:val="32"/>
          <w:szCs w:val="32"/>
          <w:lang w:val="en-US" w:eastAsia="zh-CN" w:bidi="ar-SA"/>
        </w:rPr>
        <w:t>2019年6月，本单位通过</w:t>
      </w:r>
      <w:r>
        <w:rPr>
          <w:rFonts w:hint="eastAsia" w:ascii="仿宋_GB2312" w:hAnsi="宋体" w:eastAsia="仿宋_GB2312" w:cs="仿宋_GB2312"/>
          <w:kern w:val="2"/>
          <w:sz w:val="32"/>
          <w:szCs w:val="32"/>
          <w:lang w:val="en-US" w:eastAsia="zh-CN" w:bidi="ar-SA"/>
        </w:rPr>
        <w:t>招投标采购与江西福源园林景观工程有限公司签订了合同，并</w:t>
      </w:r>
      <w:r>
        <w:rPr>
          <w:rFonts w:hint="eastAsia" w:ascii="仿宋_GB2312" w:hAnsi="宋体" w:eastAsia="仿宋_GB2312" w:cs="仿宋_GB2312"/>
          <w:b w:val="0"/>
          <w:kern w:val="2"/>
          <w:sz w:val="32"/>
          <w:szCs w:val="32"/>
          <w:lang w:val="en-US" w:eastAsia="zh-CN" w:bidi="ar-SA"/>
        </w:rPr>
        <w:t>进行了练浆池和篮球馆加固及维修改造工程</w:t>
      </w:r>
      <w:r>
        <w:rPr>
          <w:rFonts w:hint="eastAsia" w:ascii="仿宋_GB2312" w:hAnsi="宋体" w:eastAsia="仿宋_GB2312" w:cs="仿宋_GB2312"/>
          <w:kern w:val="2"/>
          <w:sz w:val="32"/>
          <w:szCs w:val="32"/>
          <w:lang w:val="en-US" w:eastAsia="zh-CN" w:bidi="ar-SA"/>
        </w:rPr>
        <w:t>项目。项目执行过程中共计维修次数为三次。设定分值为10分，该项指标得10分。</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00" w:lineRule="exact"/>
        <w:ind w:firstLine="64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综上所述，项目产出数量得分为10分。</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ind w:leftChars="0"/>
        <w:textAlignment w:val="auto"/>
        <w:rPr>
          <w:rFonts w:hint="eastAsia" w:ascii="黑体" w:hAnsi="黑体" w:eastAsia="黑体" w:cs="黑体"/>
          <w:b w:val="0"/>
          <w:bCs/>
          <w:lang w:val="en-US" w:eastAsia="zh-CN"/>
        </w:rPr>
      </w:pPr>
      <w:bookmarkStart w:id="50" w:name="_Toc19874"/>
      <w:bookmarkStart w:id="51" w:name="_Toc14328"/>
      <w:r>
        <w:rPr>
          <w:rFonts w:hint="eastAsia" w:ascii="黑体" w:hAnsi="黑体" w:eastAsia="黑体" w:cs="黑体"/>
          <w:b w:val="0"/>
          <w:bCs/>
          <w:lang w:val="en-US" w:eastAsia="zh-CN"/>
        </w:rPr>
        <w:t>2、质量指标（15分)</w:t>
      </w:r>
      <w:bookmarkEnd w:id="50"/>
      <w:bookmarkEnd w:id="51"/>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A、维修工程验收合格（8分）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default" w:ascii="仿宋_GB2312" w:hAnsi="宋体" w:eastAsia="仿宋_GB2312" w:cs="仿宋_GB2312"/>
          <w:kern w:val="2"/>
          <w:sz w:val="32"/>
          <w:szCs w:val="32"/>
          <w:lang w:val="en-US" w:eastAsia="zh-CN" w:bidi="ar-SA"/>
        </w:rPr>
      </w:pPr>
      <w:r>
        <w:rPr>
          <w:rFonts w:hint="eastAsia" w:ascii="仿宋_GB2312" w:hAnsi="宋体" w:eastAsia="仿宋_GB2312" w:cs="仿宋_GB2312"/>
          <w:b/>
          <w:bCs/>
          <w:kern w:val="2"/>
          <w:sz w:val="32"/>
          <w:szCs w:val="32"/>
          <w:lang w:val="en-US" w:eastAsia="zh-CN" w:bidi="ar-SA"/>
        </w:rPr>
        <w:t>维修质量合格率100%。</w:t>
      </w:r>
      <w:r>
        <w:rPr>
          <w:rFonts w:hint="eastAsia" w:ascii="仿宋_GB2312" w:hAnsi="宋体" w:eastAsia="仿宋_GB2312" w:cs="仿宋_GB2312"/>
          <w:kern w:val="2"/>
          <w:sz w:val="32"/>
          <w:szCs w:val="32"/>
          <w:lang w:val="en-US" w:eastAsia="zh-CN" w:bidi="ar-SA"/>
        </w:rPr>
        <w:t>2019年度，江西福源园林景观工程有限公司按照合同约定事项遵守规定、履行义务，使得练浆池和篮球馆加固及维修改造工程工作进展顺利，项目验收合格。设定分值为8分，该项指标得8分。</w:t>
      </w:r>
    </w:p>
    <w:p>
      <w:pPr>
        <w:keepNext w:val="0"/>
        <w:keepLines w:val="0"/>
        <w:pageBreakBefore w:val="0"/>
        <w:widowControl w:val="0"/>
        <w:numPr>
          <w:ilvl w:val="0"/>
          <w:numId w:val="10"/>
        </w:numPr>
        <w:kinsoku/>
        <w:wordWrap/>
        <w:overflowPunct/>
        <w:topLinePunct w:val="0"/>
        <w:autoSpaceDE/>
        <w:autoSpaceDN/>
        <w:bidi w:val="0"/>
        <w:adjustRightInd/>
        <w:snapToGrid/>
        <w:spacing w:line="500" w:lineRule="exact"/>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场馆正常用于训练（7分）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保障场馆正常运作，提供优良训练环境和条件。</w:t>
      </w:r>
      <w:r>
        <w:rPr>
          <w:rFonts w:hint="eastAsia" w:ascii="仿宋_GB2312" w:hAnsi="宋体" w:eastAsia="仿宋_GB2312" w:cs="仿宋_GB2312"/>
          <w:b w:val="0"/>
          <w:kern w:val="2"/>
          <w:sz w:val="32"/>
          <w:szCs w:val="32"/>
          <w:lang w:val="en-US" w:eastAsia="zh-CN" w:bidi="ar-SA"/>
        </w:rPr>
        <w:t>本单位着眼于提高体校学生训练质量，为体育生打造一个优良的训练环境，对场馆是否能正常运作严格把关，使体育场馆正常运作率达100%，保障了学生日常训练活动的开展。设定分值为7分，该项指标得7分。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综上所述，项目产出质量得分为15分。</w:t>
      </w:r>
    </w:p>
    <w:p>
      <w:pPr>
        <w:pStyle w:val="5"/>
        <w:keepNext/>
        <w:keepLines/>
        <w:pageBreakBefore w:val="0"/>
        <w:widowControl w:val="0"/>
        <w:numPr>
          <w:ilvl w:val="0"/>
          <w:numId w:val="4"/>
        </w:numPr>
        <w:kinsoku/>
        <w:wordWrap/>
        <w:overflowPunct/>
        <w:topLinePunct w:val="0"/>
        <w:autoSpaceDE/>
        <w:autoSpaceDN/>
        <w:bidi w:val="0"/>
        <w:adjustRightInd/>
        <w:snapToGrid/>
        <w:spacing w:before="0" w:after="0" w:line="500" w:lineRule="exact"/>
        <w:ind w:left="0" w:leftChars="0" w:firstLine="0" w:firstLineChars="0"/>
        <w:textAlignment w:val="auto"/>
        <w:rPr>
          <w:rFonts w:hint="eastAsia" w:ascii="黑体" w:hAnsi="黑体" w:eastAsia="黑体" w:cs="黑体"/>
          <w:b w:val="0"/>
          <w:bCs/>
          <w:szCs w:val="22"/>
          <w:lang w:val="en-US" w:eastAsia="zh-CN"/>
        </w:rPr>
      </w:pPr>
      <w:bookmarkStart w:id="52" w:name="_Toc22737"/>
      <w:r>
        <w:rPr>
          <w:rFonts w:hint="eastAsia" w:ascii="黑体" w:hAnsi="黑体" w:eastAsia="黑体" w:cs="黑体"/>
          <w:b w:val="0"/>
          <w:bCs/>
          <w:szCs w:val="22"/>
          <w:lang w:val="en-US" w:eastAsia="zh-CN"/>
        </w:rPr>
        <w:t>时效指标（5分）</w:t>
      </w:r>
      <w:bookmarkEnd w:id="52"/>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全年保证正常水电供应。</w:t>
      </w:r>
      <w:r>
        <w:rPr>
          <w:rFonts w:hint="eastAsia" w:ascii="仿宋_GB2312" w:hAnsi="宋体" w:eastAsia="仿宋_GB2312" w:cs="仿宋_GB2312"/>
          <w:b w:val="0"/>
          <w:kern w:val="2"/>
          <w:sz w:val="32"/>
          <w:szCs w:val="32"/>
          <w:lang w:val="en-US" w:eastAsia="zh-CN" w:bidi="ar-SA"/>
        </w:rPr>
        <w:t>经核实，未发现因水电供应意外中断而导致的不良事件。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kern w:val="2"/>
          <w:sz w:val="32"/>
          <w:szCs w:val="32"/>
          <w:lang w:val="en-US" w:eastAsia="zh-CN" w:bidi="ar-SA"/>
        </w:rPr>
        <w:t>场馆维修维护如期按约完成。</w:t>
      </w:r>
      <w:r>
        <w:rPr>
          <w:rFonts w:hint="eastAsia" w:ascii="仿宋_GB2312" w:hAnsi="宋体" w:eastAsia="仿宋_GB2312" w:cs="仿宋_GB2312"/>
          <w:b w:val="0"/>
          <w:kern w:val="2"/>
          <w:sz w:val="32"/>
          <w:szCs w:val="32"/>
          <w:lang w:val="en-US" w:eastAsia="zh-CN" w:bidi="ar-SA"/>
        </w:rPr>
        <w:t>第三方企业在规定时间内保质保量地完成了项目。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设定分值为5分，综上所述，时效指标得分为5分。</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ind w:leftChars="0"/>
        <w:textAlignment w:val="auto"/>
        <w:rPr>
          <w:rFonts w:hint="default" w:ascii="黑体" w:hAnsi="黑体" w:eastAsia="黑体" w:cs="黑体"/>
          <w:b w:val="0"/>
          <w:bCs/>
          <w:szCs w:val="22"/>
          <w:lang w:val="en-US" w:eastAsia="zh-CN"/>
        </w:rPr>
      </w:pPr>
      <w:bookmarkStart w:id="53" w:name="_Toc29421"/>
      <w:r>
        <w:rPr>
          <w:rFonts w:hint="eastAsia" w:ascii="黑体" w:hAnsi="黑体" w:eastAsia="黑体" w:cs="黑体"/>
          <w:b w:val="0"/>
          <w:bCs/>
          <w:szCs w:val="22"/>
          <w:lang w:val="en-US" w:eastAsia="zh-CN"/>
        </w:rPr>
        <w:t>4、成本指标（10分）</w:t>
      </w:r>
      <w:bookmarkEnd w:id="53"/>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A、水电供应（5分）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 xml:space="preserve">   </w:t>
      </w:r>
      <w:r>
        <w:rPr>
          <w:rFonts w:hint="eastAsia" w:ascii="仿宋_GB2312" w:hAnsi="宋体" w:eastAsia="仿宋_GB2312" w:cs="仿宋_GB2312"/>
          <w:b/>
          <w:bCs/>
          <w:kern w:val="2"/>
          <w:sz w:val="32"/>
          <w:szCs w:val="32"/>
          <w:lang w:val="en-US" w:eastAsia="zh-CN" w:bidi="ar-SA"/>
        </w:rPr>
        <w:t>场馆水电成本控制。</w:t>
      </w:r>
      <w:r>
        <w:rPr>
          <w:rFonts w:hint="eastAsia" w:ascii="仿宋_GB2312" w:hAnsi="宋体" w:eastAsia="仿宋_GB2312" w:cs="仿宋_GB2312"/>
          <w:b w:val="0"/>
          <w:kern w:val="2"/>
          <w:sz w:val="32"/>
          <w:szCs w:val="32"/>
          <w:lang w:val="en-US" w:eastAsia="zh-CN" w:bidi="ar-SA"/>
        </w:rPr>
        <w:t>成本节约率=（预算成本-实际成本）/预算成本，场馆水电费预算成本为人民币10万元，实际发生人民币10.54万元，成本节约率小于0。设定分值为5分，该项目得4分。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B、场馆维修维护（5分）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 xml:space="preserve">   </w:t>
      </w:r>
      <w:r>
        <w:rPr>
          <w:rFonts w:hint="eastAsia" w:ascii="仿宋_GB2312" w:hAnsi="宋体" w:eastAsia="仿宋_GB2312" w:cs="仿宋_GB2312"/>
          <w:b/>
          <w:bCs/>
          <w:kern w:val="2"/>
          <w:sz w:val="32"/>
          <w:szCs w:val="32"/>
          <w:lang w:val="en-US" w:eastAsia="zh-CN" w:bidi="ar-SA"/>
        </w:rPr>
        <w:t>场馆维修维护成本控制。</w:t>
      </w:r>
      <w:r>
        <w:rPr>
          <w:rFonts w:hint="eastAsia" w:ascii="仿宋_GB2312" w:hAnsi="宋体" w:eastAsia="仿宋_GB2312" w:cs="仿宋_GB2312"/>
          <w:b w:val="0"/>
          <w:kern w:val="2"/>
          <w:sz w:val="32"/>
          <w:szCs w:val="32"/>
          <w:lang w:val="en-US" w:eastAsia="zh-CN" w:bidi="ar-SA"/>
        </w:rPr>
        <w:t>预算成本为人民币20万元，实际结算支付人民币20.34万元，超额支付，成本节约率小于0。设定分值为5分，该指标得4分。</w:t>
      </w:r>
    </w:p>
    <w:p>
      <w:pPr>
        <w:pStyle w:val="2"/>
        <w:rPr>
          <w:rFonts w:hint="default"/>
          <w:lang w:val="en-US" w:eastAsia="zh-CN"/>
        </w:rPr>
      </w:pPr>
      <w:r>
        <w:rPr>
          <w:rFonts w:hint="eastAsia" w:ascii="仿宋_GB2312" w:hAnsi="宋体" w:eastAsia="仿宋_GB2312" w:cs="仿宋_GB2312"/>
          <w:b w:val="0"/>
          <w:kern w:val="2"/>
          <w:sz w:val="32"/>
          <w:szCs w:val="32"/>
          <w:lang w:val="en-US" w:eastAsia="zh-CN" w:bidi="ar-SA"/>
        </w:rPr>
        <w:t xml:space="preserve">   设定分值为10分，综上所述，时效指标得分为8分。</w:t>
      </w:r>
    </w:p>
    <w:p>
      <w:pPr>
        <w:pStyle w:val="4"/>
        <w:keepNext/>
        <w:keepLines/>
        <w:pageBreakBefore w:val="0"/>
        <w:widowControl w:val="0"/>
        <w:numPr>
          <w:ilvl w:val="0"/>
          <w:numId w:val="9"/>
        </w:numPr>
        <w:kinsoku/>
        <w:wordWrap/>
        <w:overflowPunct/>
        <w:topLinePunct w:val="0"/>
        <w:autoSpaceDE/>
        <w:autoSpaceDN/>
        <w:bidi w:val="0"/>
        <w:adjustRightInd/>
        <w:snapToGrid/>
        <w:spacing w:before="0" w:after="0" w:line="500" w:lineRule="exact"/>
        <w:textAlignment w:val="auto"/>
        <w:rPr>
          <w:rFonts w:hint="default"/>
          <w:b w:val="0"/>
          <w:bCs/>
          <w:szCs w:val="22"/>
          <w:lang w:val="en-US" w:eastAsia="zh-CN"/>
        </w:rPr>
      </w:pPr>
      <w:bookmarkStart w:id="54" w:name="_Toc19919"/>
      <w:r>
        <w:rPr>
          <w:rFonts w:hint="eastAsia"/>
          <w:b w:val="0"/>
          <w:bCs/>
          <w:szCs w:val="22"/>
          <w:lang w:val="en-US" w:eastAsia="zh-CN"/>
        </w:rPr>
        <w:t>效益指标完成情况分析（30分）</w:t>
      </w:r>
      <w:bookmarkEnd w:id="54"/>
    </w:p>
    <w:p>
      <w:pPr>
        <w:pStyle w:val="5"/>
        <w:keepNext/>
        <w:keepLines/>
        <w:pageBreakBefore w:val="0"/>
        <w:widowControl w:val="0"/>
        <w:numPr>
          <w:ilvl w:val="0"/>
          <w:numId w:val="11"/>
        </w:numPr>
        <w:kinsoku/>
        <w:wordWrap/>
        <w:overflowPunct/>
        <w:topLinePunct w:val="0"/>
        <w:autoSpaceDE/>
        <w:autoSpaceDN/>
        <w:bidi w:val="0"/>
        <w:adjustRightInd/>
        <w:snapToGrid/>
        <w:spacing w:before="0" w:after="0" w:line="500" w:lineRule="exact"/>
        <w:textAlignment w:val="auto"/>
        <w:rPr>
          <w:rFonts w:hint="eastAsia"/>
          <w:b/>
          <w:bCs w:val="0"/>
          <w:szCs w:val="22"/>
          <w:lang w:val="en-US" w:eastAsia="zh-CN"/>
        </w:rPr>
      </w:pPr>
      <w:bookmarkStart w:id="55" w:name="_Toc27899"/>
      <w:r>
        <w:rPr>
          <w:rFonts w:hint="eastAsia"/>
          <w:b/>
          <w:bCs w:val="0"/>
          <w:szCs w:val="22"/>
          <w:lang w:val="en-US" w:eastAsia="zh-CN"/>
        </w:rPr>
        <w:t>经济效益指标（5分）</w:t>
      </w:r>
      <w:bookmarkEnd w:id="55"/>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A、促进我市体育产业发展（5分）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lang w:val="en-US" w:eastAsia="zh-CN"/>
        </w:rPr>
      </w:pPr>
      <w:r>
        <w:rPr>
          <w:rFonts w:hint="eastAsia" w:ascii="仿宋_GB2312" w:hAnsi="宋体" w:eastAsia="仿宋_GB2312" w:cs="仿宋_GB2312"/>
          <w:b w:val="0"/>
          <w:kern w:val="2"/>
          <w:sz w:val="32"/>
          <w:szCs w:val="32"/>
          <w:lang w:val="en-US" w:eastAsia="zh-CN" w:bidi="ar-SA"/>
        </w:rPr>
        <w:t>南昌市第二体育学校场馆维修及水电补助专项资金的项目支出，保障了水电正常供应以及体育场馆正常运行，保障了体校学生（运动员）训练的开展，为各体育类机构输送了大量人才，促进了我市体育产业的发展。设定分值为5分，该指标得4分。</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ind w:leftChars="0"/>
        <w:textAlignment w:val="auto"/>
        <w:rPr>
          <w:rFonts w:hint="eastAsia" w:ascii="黑体" w:hAnsi="黑体" w:eastAsia="黑体" w:cs="黑体"/>
          <w:b w:val="0"/>
          <w:bCs/>
          <w:lang w:val="en-US" w:eastAsia="zh-CN"/>
        </w:rPr>
      </w:pPr>
      <w:bookmarkStart w:id="56" w:name="_Toc16368"/>
      <w:bookmarkStart w:id="57" w:name="_Toc15789"/>
      <w:bookmarkStart w:id="58" w:name="_Toc3026"/>
      <w:r>
        <w:rPr>
          <w:rFonts w:hint="eastAsia" w:ascii="黑体" w:hAnsi="黑体" w:eastAsia="黑体" w:cs="黑体"/>
          <w:b w:val="0"/>
          <w:bCs/>
          <w:lang w:val="en-US" w:eastAsia="zh-CN"/>
        </w:rPr>
        <w:t>2、社会效益指标（10分)</w:t>
      </w:r>
      <w:bookmarkEnd w:id="56"/>
      <w:bookmarkEnd w:id="57"/>
      <w:bookmarkEnd w:id="58"/>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_GB2312" w:hAnsi="宋体" w:eastAsia="仿宋_GB2312" w:cs="仿宋_GB2312"/>
          <w:b/>
          <w:bCs/>
          <w:kern w:val="2"/>
          <w:sz w:val="32"/>
          <w:szCs w:val="32"/>
          <w:lang w:val="en-US" w:eastAsia="zh-CN" w:bidi="ar-SA"/>
        </w:rPr>
      </w:pPr>
      <w:r>
        <w:rPr>
          <w:rFonts w:hint="default" w:ascii="仿宋_GB2312" w:hAnsi="宋体" w:eastAsia="仿宋_GB2312" w:cs="仿宋_GB2312"/>
          <w:b/>
          <w:bCs/>
          <w:kern w:val="2"/>
          <w:sz w:val="32"/>
          <w:szCs w:val="32"/>
          <w:lang w:val="en-US" w:eastAsia="zh-CN" w:bidi="ar-SA"/>
        </w:rPr>
        <w:t>A、</w:t>
      </w:r>
      <w:r>
        <w:rPr>
          <w:rFonts w:hint="eastAsia" w:ascii="仿宋_GB2312" w:hAnsi="宋体" w:eastAsia="仿宋_GB2312" w:cs="仿宋_GB2312"/>
          <w:b/>
          <w:bCs/>
          <w:kern w:val="2"/>
          <w:sz w:val="32"/>
          <w:szCs w:val="32"/>
          <w:lang w:val="en-US" w:eastAsia="zh-CN" w:bidi="ar-SA"/>
        </w:rPr>
        <w:t>优化运动员训练环境（5分）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bCs/>
          <w:color w:val="auto"/>
          <w:kern w:val="2"/>
          <w:sz w:val="32"/>
          <w:szCs w:val="32"/>
          <w:lang w:val="en-US" w:eastAsia="zh-CN" w:bidi="ar-SA"/>
        </w:rPr>
        <w:t>改善了体校运动员日常训练条件。</w:t>
      </w:r>
      <w:r>
        <w:rPr>
          <w:rFonts w:hint="eastAsia" w:ascii="仿宋_GB2312" w:hAnsi="宋体" w:eastAsia="仿宋_GB2312" w:cs="仿宋_GB2312"/>
          <w:b w:val="0"/>
          <w:color w:val="auto"/>
          <w:kern w:val="2"/>
          <w:sz w:val="32"/>
          <w:szCs w:val="32"/>
          <w:lang w:val="en-US" w:eastAsia="zh-CN" w:bidi="ar-SA"/>
        </w:rPr>
        <w:t>保障正常持续、水电供应以及场地维修维护为本校学生（运动员）创造了优良的训练环境，从而推动校园基础设施优化，</w:t>
      </w:r>
      <w:r>
        <w:rPr>
          <w:rFonts w:hint="eastAsia" w:ascii="仿宋_GB2312" w:hAnsi="宋体" w:eastAsia="仿宋_GB2312" w:cs="仿宋_GB2312"/>
          <w:b w:val="0"/>
          <w:bCs w:val="0"/>
          <w:color w:val="000000" w:themeColor="text1"/>
          <w:kern w:val="2"/>
          <w:sz w:val="32"/>
          <w:szCs w:val="32"/>
          <w:lang w:val="en-US" w:eastAsia="zh-CN" w:bidi="ar-SA"/>
          <w14:textFill>
            <w14:solidFill>
              <w14:schemeClr w14:val="tx1"/>
            </w14:solidFill>
          </w14:textFill>
        </w:rPr>
        <w:t>客观上促进了社会效益。</w:t>
      </w:r>
      <w:r>
        <w:rPr>
          <w:rFonts w:hint="eastAsia" w:ascii="仿宋_GB2312" w:hAnsi="宋体" w:eastAsia="仿宋_GB2312" w:cs="仿宋_GB2312"/>
          <w:b w:val="0"/>
          <w:kern w:val="2"/>
          <w:sz w:val="32"/>
          <w:szCs w:val="32"/>
          <w:lang w:val="en-US" w:eastAsia="zh-CN" w:bidi="ar-SA"/>
        </w:rPr>
        <w:t>评价组认为该项指标产生的社会效益比较显著。设定分值为5分，该指标得5分。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B、对参赛成绩的积极作用（5分）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kern w:val="2"/>
          <w:sz w:val="32"/>
          <w:szCs w:val="32"/>
          <w:lang w:val="en-US" w:eastAsia="zh-CN" w:bidi="ar-SA"/>
        </w:rPr>
      </w:pPr>
      <w:r>
        <w:rPr>
          <w:rFonts w:hint="eastAsia" w:ascii="仿宋_GB2312" w:hAnsi="宋体" w:eastAsia="仿宋_GB2312" w:cs="仿宋_GB2312"/>
          <w:b w:val="0"/>
          <w:kern w:val="2"/>
          <w:sz w:val="32"/>
          <w:szCs w:val="32"/>
          <w:lang w:val="en-US" w:eastAsia="zh-CN" w:bidi="ar-SA"/>
        </w:rPr>
        <w:t>保障正常持续的水电供应和及时的场馆维修维护为本校学生（运动员）创造了优良的训练条件，有助于运动员以更加积极的心态投入到训练备战中，并创下2019年全年共计获得17枚金牌的佳绩。评价组认为该项指标产生的社会效益显著。设定分值为5分，该指标得5分。</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ind w:leftChars="0"/>
        <w:textAlignment w:val="auto"/>
        <w:rPr>
          <w:rFonts w:hint="eastAsia" w:ascii="仿宋_GB2312" w:hAnsi="宋体" w:eastAsia="仿宋_GB2312" w:cs="仿宋_GB2312"/>
          <w:b/>
          <w:bCs/>
          <w:kern w:val="2"/>
          <w:sz w:val="32"/>
          <w:szCs w:val="32"/>
          <w:lang w:val="en-US" w:eastAsia="zh-CN" w:bidi="ar-SA"/>
        </w:rPr>
      </w:pPr>
      <w:bookmarkStart w:id="59" w:name="_Toc18408"/>
      <w:r>
        <w:rPr>
          <w:rFonts w:hint="eastAsia" w:ascii="仿宋_GB2312" w:hAnsi="宋体" w:eastAsia="仿宋_GB2312" w:cs="仿宋_GB2312"/>
          <w:b/>
          <w:bCs/>
          <w:kern w:val="2"/>
          <w:sz w:val="32"/>
          <w:szCs w:val="32"/>
          <w:lang w:val="en-US" w:eastAsia="zh-CN" w:bidi="ar-SA"/>
        </w:rPr>
        <w:t>3、生态效益指标（5分)</w:t>
      </w:r>
      <w:bookmarkEnd w:id="59"/>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ind w:leftChars="0" w:firstLine="964" w:firstLineChars="300"/>
        <w:textAlignment w:val="auto"/>
        <w:rPr>
          <w:rFonts w:hint="default" w:ascii="仿宋_GB2312" w:hAnsi="宋体" w:eastAsia="仿宋_GB2312" w:cs="仿宋_GB2312"/>
          <w:b w:val="0"/>
          <w:bCs w:val="0"/>
          <w:kern w:val="2"/>
          <w:sz w:val="32"/>
          <w:szCs w:val="32"/>
          <w:lang w:val="en-US" w:eastAsia="zh-CN" w:bidi="ar-SA"/>
        </w:rPr>
      </w:pPr>
      <w:bookmarkStart w:id="60" w:name="_Toc24435"/>
      <w:r>
        <w:rPr>
          <w:rFonts w:hint="eastAsia" w:ascii="仿宋_GB2312" w:hAnsi="宋体" w:eastAsia="仿宋_GB2312" w:cs="仿宋_GB2312"/>
          <w:b/>
          <w:bCs/>
          <w:kern w:val="2"/>
          <w:sz w:val="32"/>
          <w:szCs w:val="32"/>
          <w:lang w:val="en-US" w:eastAsia="zh-CN" w:bidi="ar-SA"/>
        </w:rPr>
        <w:t>符合环保质量要求。</w:t>
      </w:r>
      <w:r>
        <w:rPr>
          <w:rFonts w:hint="eastAsia" w:ascii="仿宋_GB2312" w:hAnsi="宋体" w:eastAsia="仿宋_GB2312" w:cs="仿宋_GB2312"/>
          <w:b w:val="0"/>
          <w:bCs w:val="0"/>
          <w:kern w:val="2"/>
          <w:sz w:val="32"/>
          <w:szCs w:val="32"/>
          <w:lang w:val="en-US" w:eastAsia="zh-CN" w:bidi="ar-SA"/>
        </w:rPr>
        <w:t>在维修改造方面，项目实施切实做到了安全施工、文明施工，并有效改善了南昌市第二体育学校的生态环境。设定分值为5分，该指标得5分。</w:t>
      </w:r>
    </w:p>
    <w:p>
      <w:pPr>
        <w:pStyle w:val="5"/>
        <w:keepNext/>
        <w:keepLines/>
        <w:pageBreakBefore w:val="0"/>
        <w:widowControl w:val="0"/>
        <w:numPr>
          <w:ilvl w:val="0"/>
          <w:numId w:val="0"/>
        </w:numPr>
        <w:kinsoku/>
        <w:wordWrap/>
        <w:overflowPunct/>
        <w:topLinePunct w:val="0"/>
        <w:autoSpaceDE/>
        <w:autoSpaceDN/>
        <w:bidi w:val="0"/>
        <w:adjustRightInd/>
        <w:snapToGrid/>
        <w:spacing w:before="0" w:after="0" w:line="500" w:lineRule="exact"/>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4、可持续影响指标（9分)</w:t>
      </w:r>
      <w:bookmarkEnd w:id="60"/>
    </w:p>
    <w:p>
      <w:pPr>
        <w:pStyle w:val="2"/>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A、改善了场馆训练环境和生活环境（4分)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val="0"/>
          <w:kern w:val="2"/>
          <w:sz w:val="32"/>
          <w:szCs w:val="32"/>
          <w:lang w:val="en-US" w:eastAsia="zh-CN" w:bidi="ar-SA"/>
        </w:rPr>
      </w:pPr>
      <w:r>
        <w:rPr>
          <w:rFonts w:hint="eastAsia" w:ascii="仿宋_GB2312" w:hAnsi="宋体" w:eastAsia="仿宋_GB2312" w:cs="仿宋_GB2312"/>
          <w:b w:val="0"/>
          <w:bCs w:val="0"/>
          <w:kern w:val="2"/>
          <w:sz w:val="32"/>
          <w:szCs w:val="32"/>
          <w:lang w:val="en-US" w:eastAsia="zh-CN" w:bidi="ar-SA"/>
        </w:rPr>
        <w:t>南昌市第二体育学校通过合理合规使用场馆维修及水电补助专项资金，改善场馆训练和生活环境。设定分值为4分，该指标得4分。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43" w:firstLineChars="200"/>
        <w:textAlignment w:val="auto"/>
        <w:rPr>
          <w:rFonts w:hint="eastAsia"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B、推动了南昌市体育事业的发展（5分)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仿宋_GB2312" w:hAnsi="宋体" w:eastAsia="仿宋_GB2312" w:cs="仿宋_GB2312"/>
          <w:b/>
          <w:bCs/>
          <w:kern w:val="2"/>
          <w:sz w:val="32"/>
          <w:szCs w:val="32"/>
          <w:lang w:val="en-US" w:eastAsia="zh-CN" w:bidi="ar-SA"/>
        </w:rPr>
      </w:pPr>
      <w:r>
        <w:rPr>
          <w:rFonts w:hint="eastAsia" w:ascii="仿宋_GB2312" w:hAnsi="宋体" w:eastAsia="仿宋_GB2312" w:cs="仿宋_GB2312"/>
          <w:b/>
          <w:bCs/>
          <w:kern w:val="2"/>
          <w:sz w:val="32"/>
          <w:szCs w:val="32"/>
          <w:lang w:val="en-US" w:eastAsia="zh-CN" w:bidi="ar-SA"/>
        </w:rPr>
        <w:t xml:space="preserve">   </w:t>
      </w:r>
      <w:r>
        <w:rPr>
          <w:rFonts w:hint="eastAsia" w:ascii="仿宋_GB2312" w:hAnsi="宋体" w:eastAsia="仿宋_GB2312" w:cs="仿宋_GB2312"/>
          <w:b w:val="0"/>
          <w:bCs w:val="0"/>
          <w:kern w:val="2"/>
          <w:sz w:val="32"/>
          <w:szCs w:val="32"/>
          <w:lang w:val="en-US" w:eastAsia="zh-CN" w:bidi="ar-SA"/>
        </w:rPr>
        <w:t>为运动员训练创造了条件，保障了日常训练活动的开展，提高了运动员竞技水平，推动了南昌市体育事业的发展。设定分值为5分，该指标得5分。</w:t>
      </w:r>
    </w:p>
    <w:p>
      <w:pPr>
        <w:pStyle w:val="4"/>
        <w:keepNext/>
        <w:keepLines/>
        <w:pageBreakBefore w:val="0"/>
        <w:widowControl w:val="0"/>
        <w:numPr>
          <w:ilvl w:val="0"/>
          <w:numId w:val="9"/>
        </w:numPr>
        <w:kinsoku/>
        <w:wordWrap/>
        <w:overflowPunct/>
        <w:topLinePunct w:val="0"/>
        <w:autoSpaceDE/>
        <w:autoSpaceDN/>
        <w:bidi w:val="0"/>
        <w:adjustRightInd/>
        <w:snapToGrid/>
        <w:spacing w:before="0" w:after="0" w:line="500" w:lineRule="exact"/>
        <w:textAlignment w:val="auto"/>
        <w:rPr>
          <w:rFonts w:hint="default"/>
          <w:b w:val="0"/>
          <w:bCs/>
          <w:szCs w:val="22"/>
          <w:lang w:val="en-US" w:eastAsia="zh-CN"/>
        </w:rPr>
      </w:pPr>
      <w:bookmarkStart w:id="61" w:name="_Toc13452"/>
      <w:r>
        <w:rPr>
          <w:rFonts w:hint="eastAsia"/>
          <w:b w:val="0"/>
          <w:bCs/>
          <w:szCs w:val="22"/>
          <w:lang w:val="en-US" w:eastAsia="zh-CN"/>
        </w:rPr>
        <w:t>满意度指标（10分）</w:t>
      </w:r>
      <w:bookmarkEnd w:id="61"/>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val="0"/>
          <w:kern w:val="2"/>
          <w:sz w:val="32"/>
          <w:szCs w:val="32"/>
          <w:lang w:val="en-US" w:eastAsia="zh-CN" w:bidi="ar-SA"/>
        </w:rPr>
      </w:pPr>
      <w:r>
        <w:rPr>
          <w:rFonts w:hint="eastAsia" w:ascii="仿宋_GB2312" w:hAnsi="宋体" w:eastAsia="仿宋_GB2312" w:cs="仿宋_GB2312"/>
          <w:b w:val="0"/>
          <w:bCs w:val="0"/>
          <w:kern w:val="2"/>
          <w:sz w:val="32"/>
          <w:szCs w:val="32"/>
          <w:lang w:val="en-US" w:eastAsia="zh-CN" w:bidi="ar-SA"/>
        </w:rPr>
        <w:t>评价小组采用问卷调查的方式对该指标进行评价。考核南昌市第二体育学校馆维修及水电补助专项资金使用效果，问卷取数分为五档：非常满意、满意、比较满意、较不满意、不满意。随机调查学校教职工、在校学生及社会公众，一共发放调查问卷50份，实际收回调查问卷50份，最终结果显示满意度率达93%。设定分值为10分，得分8分。</w:t>
      </w:r>
    </w:p>
    <w:p>
      <w:pPr>
        <w:pStyle w:val="3"/>
        <w:keepNext/>
        <w:keepLines/>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黑体" w:hAnsi="黑体" w:eastAsia="黑体" w:cs="黑体"/>
          <w:b w:val="0"/>
          <w:bCs/>
          <w:szCs w:val="22"/>
          <w:lang w:val="en-US" w:eastAsia="zh-CN"/>
        </w:rPr>
      </w:pPr>
      <w:bookmarkStart w:id="62" w:name="_Toc26309"/>
      <w:r>
        <w:rPr>
          <w:rFonts w:hint="eastAsia" w:ascii="黑体" w:hAnsi="黑体" w:eastAsia="黑体" w:cs="黑体"/>
          <w:b w:val="0"/>
          <w:bCs/>
          <w:szCs w:val="22"/>
          <w:lang w:val="en-US" w:eastAsia="zh-CN"/>
        </w:rPr>
        <w:t>五、绩效评价结果应用建议</w:t>
      </w:r>
      <w:bookmarkEnd w:id="62"/>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宋体" w:eastAsia="仿宋_GB2312" w:cs="仿宋_GB2312"/>
          <w:b w:val="0"/>
          <w:bCs w:val="0"/>
          <w:color w:val="000000" w:themeColor="text1"/>
          <w:kern w:val="2"/>
          <w:sz w:val="32"/>
          <w:szCs w:val="32"/>
          <w:lang w:val="en-US" w:eastAsia="zh-CN" w:bidi="ar-SA"/>
          <w14:textFill>
            <w14:solidFill>
              <w14:schemeClr w14:val="tx1"/>
            </w14:solidFill>
          </w14:textFill>
        </w:rPr>
        <w:t>绩效评价结果作为财政部门每年安排部门预算的重要依据，为预算编制提供参考。利用绩效监督结果，增强单位责任感和经济效益观念；提高单位专项资金管理水平；加强各部门与财政部门的协调联动；保障财政支出预算的科学性与合规性。</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val="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仿宋_GB2312"/>
          <w:b w:val="0"/>
          <w:bCs w:val="0"/>
          <w:kern w:val="2"/>
          <w:sz w:val="32"/>
          <w:szCs w:val="32"/>
          <w:lang w:val="en-US" w:eastAsia="zh-CN" w:bidi="ar-SA"/>
        </w:rPr>
      </w:pPr>
      <w:r>
        <w:rPr>
          <w:rFonts w:hint="eastAsia" w:ascii="仿宋_GB2312" w:hAnsi="宋体" w:eastAsia="仿宋_GB2312" w:cs="仿宋_GB2312"/>
          <w:b w:val="0"/>
          <w:bCs w:val="0"/>
          <w:kern w:val="2"/>
          <w:sz w:val="32"/>
          <w:szCs w:val="32"/>
          <w:lang w:val="en-US" w:eastAsia="zh-CN" w:bidi="ar-SA"/>
        </w:rPr>
        <w:t xml:space="preserve">               江西惠普会计师事务所有限责任公司</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仿宋_GB2312"/>
          <w:kern w:val="2"/>
          <w:sz w:val="32"/>
          <w:szCs w:val="32"/>
          <w:lang w:val="en-US" w:eastAsia="zh-CN" w:bidi="ar-SA"/>
        </w:rPr>
      </w:pPr>
      <w:r>
        <w:rPr>
          <w:rFonts w:hint="eastAsia" w:ascii="仿宋_GB2312" w:hAnsi="宋体" w:eastAsia="仿宋_GB2312" w:cs="仿宋_GB2312"/>
          <w:b w:val="0"/>
          <w:bCs w:val="0"/>
          <w:kern w:val="2"/>
          <w:sz w:val="32"/>
          <w:szCs w:val="32"/>
          <w:lang w:val="en-US" w:eastAsia="zh-CN" w:bidi="ar-SA"/>
        </w:rPr>
        <w:t xml:space="preserve">                       2020年5月20日</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00" w:lineRule="exact"/>
        <w:textAlignment w:val="auto"/>
        <w:rPr>
          <w:rFonts w:hint="default" w:ascii="仿宋_GB2312" w:hAnsi="宋体" w:eastAsia="仿宋_GB2312" w:cs="仿宋_GB2312"/>
          <w:kern w:val="2"/>
          <w:sz w:val="32"/>
          <w:szCs w:val="32"/>
          <w:lang w:val="en-US" w:eastAsia="zh-CN" w:bidi="ar-SA"/>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BBC4C9"/>
    <w:multiLevelType w:val="singleLevel"/>
    <w:tmpl w:val="99BBC4C9"/>
    <w:lvl w:ilvl="0" w:tentative="0">
      <w:start w:val="1"/>
      <w:numFmt w:val="chineseCounting"/>
      <w:lvlText w:val="（%1)"/>
      <w:lvlJc w:val="left"/>
      <w:pPr>
        <w:tabs>
          <w:tab w:val="left" w:pos="312"/>
        </w:tabs>
      </w:pPr>
      <w:rPr>
        <w:rFonts w:hint="eastAsia"/>
      </w:rPr>
    </w:lvl>
  </w:abstractNum>
  <w:abstractNum w:abstractNumId="1">
    <w:nsid w:val="BA955BFD"/>
    <w:multiLevelType w:val="singleLevel"/>
    <w:tmpl w:val="BA955BFD"/>
    <w:lvl w:ilvl="0" w:tentative="0">
      <w:start w:val="2"/>
      <w:numFmt w:val="decimal"/>
      <w:suff w:val="nothing"/>
      <w:lvlText w:val="（%1）"/>
      <w:lvlJc w:val="left"/>
    </w:lvl>
  </w:abstractNum>
  <w:abstractNum w:abstractNumId="2">
    <w:nsid w:val="E74B3817"/>
    <w:multiLevelType w:val="singleLevel"/>
    <w:tmpl w:val="E74B3817"/>
    <w:lvl w:ilvl="0" w:tentative="0">
      <w:start w:val="2"/>
      <w:numFmt w:val="upperLetter"/>
      <w:suff w:val="nothing"/>
      <w:lvlText w:val="%1、"/>
      <w:lvlJc w:val="left"/>
    </w:lvl>
  </w:abstractNum>
  <w:abstractNum w:abstractNumId="3">
    <w:nsid w:val="E928290E"/>
    <w:multiLevelType w:val="singleLevel"/>
    <w:tmpl w:val="E928290E"/>
    <w:lvl w:ilvl="0" w:tentative="0">
      <w:start w:val="4"/>
      <w:numFmt w:val="chineseCounting"/>
      <w:suff w:val="nothing"/>
      <w:lvlText w:val="%1、"/>
      <w:lvlJc w:val="left"/>
      <w:rPr>
        <w:rFonts w:hint="eastAsia"/>
      </w:rPr>
    </w:lvl>
  </w:abstractNum>
  <w:abstractNum w:abstractNumId="4">
    <w:nsid w:val="17478350"/>
    <w:multiLevelType w:val="singleLevel"/>
    <w:tmpl w:val="17478350"/>
    <w:lvl w:ilvl="0" w:tentative="0">
      <w:start w:val="1"/>
      <w:numFmt w:val="decimal"/>
      <w:suff w:val="nothing"/>
      <w:lvlText w:val="%1、"/>
      <w:lvlJc w:val="left"/>
    </w:lvl>
  </w:abstractNum>
  <w:abstractNum w:abstractNumId="5">
    <w:nsid w:val="18B95C5F"/>
    <w:multiLevelType w:val="singleLevel"/>
    <w:tmpl w:val="18B95C5F"/>
    <w:lvl w:ilvl="0" w:tentative="0">
      <w:start w:val="2"/>
      <w:numFmt w:val="decimal"/>
      <w:suff w:val="nothing"/>
      <w:lvlText w:val="%1、"/>
      <w:lvlJc w:val="left"/>
    </w:lvl>
  </w:abstractNum>
  <w:abstractNum w:abstractNumId="6">
    <w:nsid w:val="1A608AD3"/>
    <w:multiLevelType w:val="singleLevel"/>
    <w:tmpl w:val="1A608AD3"/>
    <w:lvl w:ilvl="0" w:tentative="0">
      <w:start w:val="1"/>
      <w:numFmt w:val="decimal"/>
      <w:suff w:val="nothing"/>
      <w:lvlText w:val="%1、"/>
      <w:lvlJc w:val="left"/>
    </w:lvl>
  </w:abstractNum>
  <w:abstractNum w:abstractNumId="7">
    <w:nsid w:val="35CD55CA"/>
    <w:multiLevelType w:val="singleLevel"/>
    <w:tmpl w:val="35CD55CA"/>
    <w:lvl w:ilvl="0" w:tentative="0">
      <w:start w:val="3"/>
      <w:numFmt w:val="decimal"/>
      <w:suff w:val="nothing"/>
      <w:lvlText w:val="（%1）"/>
      <w:lvlJc w:val="left"/>
    </w:lvl>
  </w:abstractNum>
  <w:abstractNum w:abstractNumId="8">
    <w:nsid w:val="4C5DB9A0"/>
    <w:multiLevelType w:val="singleLevel"/>
    <w:tmpl w:val="4C5DB9A0"/>
    <w:lvl w:ilvl="0" w:tentative="0">
      <w:start w:val="2"/>
      <w:numFmt w:val="chineseCounting"/>
      <w:suff w:val="nothing"/>
      <w:lvlText w:val="（%1）"/>
      <w:lvlJc w:val="left"/>
      <w:rPr>
        <w:rFonts w:hint="eastAsia"/>
      </w:rPr>
    </w:lvl>
  </w:abstractNum>
  <w:abstractNum w:abstractNumId="9">
    <w:nsid w:val="62763A74"/>
    <w:multiLevelType w:val="singleLevel"/>
    <w:tmpl w:val="62763A74"/>
    <w:lvl w:ilvl="0" w:tentative="0">
      <w:start w:val="1"/>
      <w:numFmt w:val="chineseCounting"/>
      <w:suff w:val="nothing"/>
      <w:lvlText w:val="（%1）"/>
      <w:lvlJc w:val="left"/>
      <w:rPr>
        <w:rFonts w:hint="eastAsia"/>
      </w:rPr>
    </w:lvl>
  </w:abstractNum>
  <w:abstractNum w:abstractNumId="10">
    <w:nsid w:val="77308165"/>
    <w:multiLevelType w:val="singleLevel"/>
    <w:tmpl w:val="77308165"/>
    <w:lvl w:ilvl="0" w:tentative="0">
      <w:start w:val="1"/>
      <w:numFmt w:val="chineseCounting"/>
      <w:suff w:val="nothing"/>
      <w:lvlText w:val="%1、"/>
      <w:lvlJc w:val="left"/>
      <w:rPr>
        <w:rFonts w:hint="eastAsia"/>
      </w:rPr>
    </w:lvl>
  </w:abstractNum>
  <w:num w:numId="1">
    <w:abstractNumId w:val="10"/>
  </w:num>
  <w:num w:numId="2">
    <w:abstractNumId w:val="0"/>
  </w:num>
  <w:num w:numId="3">
    <w:abstractNumId w:val="4"/>
  </w:num>
  <w:num w:numId="4">
    <w:abstractNumId w:val="5"/>
  </w:num>
  <w:num w:numId="5">
    <w:abstractNumId w:val="1"/>
  </w:num>
  <w:num w:numId="6">
    <w:abstractNumId w:val="8"/>
  </w:num>
  <w:num w:numId="7">
    <w:abstractNumId w:val="7"/>
  </w:num>
  <w:num w:numId="8">
    <w:abstractNumId w:val="3"/>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D1F32"/>
    <w:rsid w:val="00700FF6"/>
    <w:rsid w:val="01AC6CB6"/>
    <w:rsid w:val="0276032A"/>
    <w:rsid w:val="03680A6D"/>
    <w:rsid w:val="03DD6DA0"/>
    <w:rsid w:val="042531A6"/>
    <w:rsid w:val="04F24299"/>
    <w:rsid w:val="068A1C31"/>
    <w:rsid w:val="06A25C67"/>
    <w:rsid w:val="077C00BF"/>
    <w:rsid w:val="07D60C89"/>
    <w:rsid w:val="0A063500"/>
    <w:rsid w:val="0A14207E"/>
    <w:rsid w:val="0A170720"/>
    <w:rsid w:val="0ADF7A50"/>
    <w:rsid w:val="0B387C6D"/>
    <w:rsid w:val="0BFC5E6A"/>
    <w:rsid w:val="0D4163ED"/>
    <w:rsid w:val="0EEB6EF6"/>
    <w:rsid w:val="0F6D1F32"/>
    <w:rsid w:val="0F6E18AE"/>
    <w:rsid w:val="102F2B21"/>
    <w:rsid w:val="10586F87"/>
    <w:rsid w:val="109A610C"/>
    <w:rsid w:val="1156357A"/>
    <w:rsid w:val="1208090C"/>
    <w:rsid w:val="12092AAD"/>
    <w:rsid w:val="123E0C04"/>
    <w:rsid w:val="13BD02CC"/>
    <w:rsid w:val="14882AE5"/>
    <w:rsid w:val="149723AC"/>
    <w:rsid w:val="14CC5222"/>
    <w:rsid w:val="14DE4847"/>
    <w:rsid w:val="16483FC0"/>
    <w:rsid w:val="17FB3DDF"/>
    <w:rsid w:val="180A035B"/>
    <w:rsid w:val="1A6C61FB"/>
    <w:rsid w:val="1AB52A65"/>
    <w:rsid w:val="1ADD60A9"/>
    <w:rsid w:val="1B3F6D76"/>
    <w:rsid w:val="1BEB4A60"/>
    <w:rsid w:val="1E850B9F"/>
    <w:rsid w:val="20EE465C"/>
    <w:rsid w:val="21BD514E"/>
    <w:rsid w:val="21F84551"/>
    <w:rsid w:val="22D30B00"/>
    <w:rsid w:val="24211EBA"/>
    <w:rsid w:val="24617AD3"/>
    <w:rsid w:val="24A57573"/>
    <w:rsid w:val="24BB688C"/>
    <w:rsid w:val="24CD2738"/>
    <w:rsid w:val="251E7B01"/>
    <w:rsid w:val="25C4521C"/>
    <w:rsid w:val="263245F2"/>
    <w:rsid w:val="266A1073"/>
    <w:rsid w:val="273E7216"/>
    <w:rsid w:val="29373409"/>
    <w:rsid w:val="2B6C5CC9"/>
    <w:rsid w:val="2C6F47D5"/>
    <w:rsid w:val="301E1218"/>
    <w:rsid w:val="30232818"/>
    <w:rsid w:val="305A0E8B"/>
    <w:rsid w:val="351E2DCA"/>
    <w:rsid w:val="36104533"/>
    <w:rsid w:val="37093A97"/>
    <w:rsid w:val="37340C63"/>
    <w:rsid w:val="37693499"/>
    <w:rsid w:val="383E0F66"/>
    <w:rsid w:val="38BB1F60"/>
    <w:rsid w:val="390C1076"/>
    <w:rsid w:val="39115781"/>
    <w:rsid w:val="3943526F"/>
    <w:rsid w:val="3A1B2767"/>
    <w:rsid w:val="3AD81E05"/>
    <w:rsid w:val="3C9273CC"/>
    <w:rsid w:val="3D0370CC"/>
    <w:rsid w:val="3D1F7A9E"/>
    <w:rsid w:val="3D6F7844"/>
    <w:rsid w:val="3EAE3C87"/>
    <w:rsid w:val="3F057569"/>
    <w:rsid w:val="3F4D1586"/>
    <w:rsid w:val="3F6F43B6"/>
    <w:rsid w:val="3FBF791F"/>
    <w:rsid w:val="43AB782F"/>
    <w:rsid w:val="440C2D81"/>
    <w:rsid w:val="447F4065"/>
    <w:rsid w:val="44FF1806"/>
    <w:rsid w:val="453455A8"/>
    <w:rsid w:val="47A911D2"/>
    <w:rsid w:val="47DD5FA0"/>
    <w:rsid w:val="49037C02"/>
    <w:rsid w:val="49921EFC"/>
    <w:rsid w:val="49FF3584"/>
    <w:rsid w:val="4A142CA9"/>
    <w:rsid w:val="4A9F090D"/>
    <w:rsid w:val="4AA924FB"/>
    <w:rsid w:val="4C3B0D6D"/>
    <w:rsid w:val="4C8D0CCB"/>
    <w:rsid w:val="4CA51DEE"/>
    <w:rsid w:val="4CE36F34"/>
    <w:rsid w:val="4D364432"/>
    <w:rsid w:val="4DC369EA"/>
    <w:rsid w:val="4FDF7F76"/>
    <w:rsid w:val="50161DF1"/>
    <w:rsid w:val="50AE6170"/>
    <w:rsid w:val="513238B8"/>
    <w:rsid w:val="51B6785B"/>
    <w:rsid w:val="51EE3520"/>
    <w:rsid w:val="536C6434"/>
    <w:rsid w:val="540C3B93"/>
    <w:rsid w:val="55F10310"/>
    <w:rsid w:val="55F33E6D"/>
    <w:rsid w:val="561772BF"/>
    <w:rsid w:val="56444F0A"/>
    <w:rsid w:val="567B22E4"/>
    <w:rsid w:val="574B0FB2"/>
    <w:rsid w:val="59410E0F"/>
    <w:rsid w:val="59BA2F05"/>
    <w:rsid w:val="5BB72C41"/>
    <w:rsid w:val="5C3A59E8"/>
    <w:rsid w:val="5D7B747F"/>
    <w:rsid w:val="5EB50E09"/>
    <w:rsid w:val="5EC72A70"/>
    <w:rsid w:val="5FF91F2E"/>
    <w:rsid w:val="62232748"/>
    <w:rsid w:val="62707F7E"/>
    <w:rsid w:val="63737F0E"/>
    <w:rsid w:val="64893E13"/>
    <w:rsid w:val="65673E2A"/>
    <w:rsid w:val="659E7B3C"/>
    <w:rsid w:val="65D844C2"/>
    <w:rsid w:val="666C0675"/>
    <w:rsid w:val="6C9550AB"/>
    <w:rsid w:val="6DE3096C"/>
    <w:rsid w:val="6E750D91"/>
    <w:rsid w:val="6EDD0572"/>
    <w:rsid w:val="6FD50371"/>
    <w:rsid w:val="71401C51"/>
    <w:rsid w:val="71497257"/>
    <w:rsid w:val="72C95DED"/>
    <w:rsid w:val="73143D02"/>
    <w:rsid w:val="73424212"/>
    <w:rsid w:val="73763EFC"/>
    <w:rsid w:val="742B2DB4"/>
    <w:rsid w:val="74AD2C87"/>
    <w:rsid w:val="74B36A98"/>
    <w:rsid w:val="750E1AB3"/>
    <w:rsid w:val="75923C54"/>
    <w:rsid w:val="7703010E"/>
    <w:rsid w:val="77C23A03"/>
    <w:rsid w:val="77D7377D"/>
    <w:rsid w:val="798E7544"/>
    <w:rsid w:val="7D3A7599"/>
    <w:rsid w:val="7DAF54FF"/>
    <w:rsid w:val="7FA87ED2"/>
    <w:rsid w:val="7FDE1856"/>
    <w:rsid w:val="7FE46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b/>
    </w:r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2020-05-22T10:12:00Z</dcterms:created>
  <dc:creator>华硕</dc:creator>
  <cp:lastModifiedBy>华硕</cp:lastModifiedBy>
  <cp:lastPrinted>2020-05-29T07:29:00Z</cp:lastPrinted>
  <dcterms:modified xsi:type="dcterms:W3CDTF">2020-06-18T14:22:37Z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