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华文中宋" w:eastAsia="方正小标宋简体" w:cs="Times New Roman"/>
          <w:b/>
          <w:bCs/>
          <w:sz w:val="48"/>
          <w:szCs w:val="48"/>
          <w:lang w:val="en-US" w:eastAsia="zh-CN"/>
        </w:rPr>
      </w:pPr>
      <w:r>
        <w:rPr>
          <w:rFonts w:hint="eastAsia" w:ascii="方正小标宋简体" w:hAnsi="华文中宋" w:eastAsia="方正小标宋简体" w:cs="Times New Roman"/>
          <w:b/>
          <w:bCs/>
          <w:sz w:val="48"/>
          <w:szCs w:val="48"/>
          <w:lang w:val="en-US" w:eastAsia="zh-CN"/>
        </w:rPr>
        <w:t>财政项目支出绩效评价报告</w:t>
      </w:r>
    </w:p>
    <w:p>
      <w:pPr>
        <w:pStyle w:val="3"/>
        <w:jc w:val="center"/>
        <w:rPr>
          <w:rFonts w:hint="eastAsia" w:ascii="仿宋" w:hAnsi="仿宋" w:eastAsia="仿宋" w:cs="仿宋"/>
          <w:b/>
          <w:bCs w:val="0"/>
          <w:sz w:val="28"/>
          <w:szCs w:val="40"/>
        </w:rPr>
      </w:pPr>
      <w:bookmarkStart w:id="0" w:name="_Toc304"/>
      <w:bookmarkStart w:id="1" w:name="_Toc32641"/>
      <w:bookmarkStart w:id="2" w:name="_Toc20212"/>
      <w:bookmarkStart w:id="3" w:name="_Toc10864"/>
      <w:r>
        <w:rPr>
          <w:rFonts w:hint="eastAsia" w:ascii="仿宋" w:hAnsi="仿宋" w:eastAsia="仿宋" w:cs="仿宋"/>
          <w:b/>
          <w:bCs w:val="0"/>
          <w:sz w:val="28"/>
          <w:szCs w:val="40"/>
        </w:rPr>
        <w:t>(南昌市体育局)</w:t>
      </w:r>
      <w:bookmarkEnd w:id="0"/>
      <w:bookmarkEnd w:id="1"/>
      <w:bookmarkEnd w:id="2"/>
      <w:bookmarkEnd w:id="3"/>
    </w:p>
    <w:p>
      <w:pPr>
        <w:rPr>
          <w:rFonts w:hint="eastAsia" w:ascii="黑体" w:hAnsi="宋体" w:eastAsia="黑体" w:cs="Arial"/>
          <w:bCs/>
          <w:sz w:val="32"/>
          <w:szCs w:val="32"/>
        </w:rPr>
      </w:pPr>
    </w:p>
    <w:p>
      <w:pPr>
        <w:spacing w:line="600" w:lineRule="exact"/>
        <w:jc w:val="left"/>
        <w:rPr>
          <w:rFonts w:hint="default" w:ascii="黑体" w:hAnsi="黑体" w:eastAsia="仿宋" w:cs="黑体"/>
          <w:bCs/>
          <w:sz w:val="32"/>
          <w:szCs w:val="32"/>
          <w:u w:val="single"/>
          <w:lang w:val="en-US" w:eastAsia="zh-CN"/>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仿宋" w:hAnsi="仿宋" w:eastAsia="仿宋" w:cs="仿宋"/>
          <w:b/>
          <w:bCs w:val="0"/>
          <w:sz w:val="30"/>
          <w:szCs w:val="30"/>
          <w:u w:val="single"/>
          <w:lang w:val="en-US" w:eastAsia="zh-CN"/>
        </w:rPr>
        <w:t xml:space="preserve">  体育赛事专项资金 </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项目类别：</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社会事业类</w:t>
      </w:r>
      <w:r>
        <w:rPr>
          <w:rFonts w:hint="eastAsia" w:ascii="仿宋" w:hAnsi="仿宋" w:eastAsia="仿宋" w:cs="仿宋"/>
          <w:b/>
          <w:bCs w:val="0"/>
          <w:sz w:val="30"/>
          <w:szCs w:val="30"/>
          <w:u w:val="single"/>
        </w:rPr>
        <w:t xml:space="preserve"> </w:t>
      </w:r>
      <w:r>
        <w:rPr>
          <w:rFonts w:hint="eastAsia" w:ascii="黑体" w:hAnsi="黑体" w:eastAsia="黑体" w:cs="黑体"/>
          <w:bCs/>
          <w:sz w:val="32"/>
          <w:szCs w:val="32"/>
          <w:u w:val="single"/>
        </w:rPr>
        <w:t xml:space="preserve">                            </w:t>
      </w:r>
    </w:p>
    <w:p>
      <w:pPr>
        <w:spacing w:line="600" w:lineRule="exact"/>
        <w:rPr>
          <w:rFonts w:hint="eastAsia" w:ascii="黑体" w:hAnsi="宋体" w:eastAsia="黑体" w:cs="Arial"/>
          <w:bCs/>
          <w:sz w:val="32"/>
          <w:szCs w:val="32"/>
        </w:rPr>
      </w:pPr>
    </w:p>
    <w:p>
      <w:pPr>
        <w:spacing w:line="600" w:lineRule="exact"/>
        <w:jc w:val="left"/>
        <w:rPr>
          <w:rFonts w:hint="default" w:ascii="黑体" w:hAnsi="宋体" w:eastAsia="黑体" w:cs="Arial"/>
          <w:bCs/>
          <w:sz w:val="32"/>
          <w:szCs w:val="32"/>
          <w:lang w:val="en-US"/>
        </w:rPr>
      </w:pPr>
      <w:r>
        <w:rPr>
          <w:rFonts w:hint="eastAsia" w:ascii="黑体" w:hAnsi="宋体" w:eastAsia="黑体" w:cs="Arial"/>
          <w:bCs/>
          <w:sz w:val="32"/>
          <w:szCs w:val="32"/>
        </w:rPr>
        <w:t>实施单位：</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南昌市体育局  </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default" w:ascii="黑体" w:hAnsi="宋体" w:eastAsia="黑体" w:cs="Arial"/>
          <w:bCs/>
          <w:sz w:val="32"/>
          <w:szCs w:val="32"/>
          <w:lang w:val="en-US" w:eastAsia="zh-CN"/>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南昌市体育局</w:t>
      </w:r>
      <w:r>
        <w:rPr>
          <w:rFonts w:hint="eastAsia" w:ascii="仿宋" w:hAnsi="仿宋" w:eastAsia="仿宋" w:cs="仿宋"/>
          <w:b/>
          <w:bCs w:val="0"/>
          <w:sz w:val="30"/>
          <w:szCs w:val="30"/>
          <w:u w:val="single"/>
        </w:rPr>
        <w:t>（盖章</w:t>
      </w:r>
      <w:r>
        <w:rPr>
          <w:rFonts w:hint="eastAsia" w:ascii="仿宋" w:hAnsi="仿宋" w:eastAsia="仿宋" w:cs="仿宋"/>
          <w:b/>
          <w:bCs w:val="0"/>
          <w:sz w:val="30"/>
          <w:szCs w:val="30"/>
          <w:u w:val="single"/>
          <w:lang w:eastAsia="zh-CN"/>
        </w:rPr>
        <w:t>）</w:t>
      </w:r>
      <w:r>
        <w:rPr>
          <w:rFonts w:hint="eastAsia" w:ascii="仿宋" w:hAnsi="仿宋" w:eastAsia="仿宋" w:cs="仿宋"/>
          <w:b/>
          <w:bCs w:val="0"/>
          <w:sz w:val="30"/>
          <w:szCs w:val="30"/>
          <w:u w:val="single"/>
          <w:lang w:val="en-US" w:eastAsia="zh-CN"/>
        </w:rPr>
        <w:t xml:space="preserve">   </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eastAsia" w:ascii="黑体" w:hAnsi="黑体" w:eastAsia="黑体" w:cs="黑体"/>
          <w:bCs/>
          <w:sz w:val="32"/>
          <w:szCs w:val="32"/>
          <w:u w:val="single"/>
          <w:lang w:val="en-US" w:eastAsia="zh-CN"/>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lang w:val="en-US" w:eastAsia="zh-CN"/>
        </w:rPr>
        <w:t>江西惠普会计师事务所有限责任公司（盖章</w:t>
      </w:r>
      <w:r>
        <w:rPr>
          <w:rFonts w:hint="eastAsia" w:ascii="黑体" w:hAnsi="黑体" w:eastAsia="黑体" w:cs="黑体"/>
          <w:bCs/>
          <w:sz w:val="32"/>
          <w:szCs w:val="32"/>
          <w:u w:val="single"/>
          <w:lang w:val="en-US" w:eastAsia="zh-CN"/>
        </w:rPr>
        <w:t>）</w:t>
      </w:r>
    </w:p>
    <w:p>
      <w:pPr>
        <w:spacing w:line="600" w:lineRule="exact"/>
        <w:rPr>
          <w:rFonts w:hint="default" w:ascii="黑体" w:hAnsi="黑体" w:eastAsia="黑体" w:cs="黑体"/>
          <w:bCs/>
          <w:sz w:val="32"/>
          <w:szCs w:val="32"/>
          <w:u w:val="single"/>
          <w:lang w:val="en-US" w:eastAsia="zh-CN"/>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lang w:val="en-US" w:eastAsia="zh-CN"/>
        </w:rPr>
        <w:t xml:space="preserve">      2019年度      </w:t>
      </w:r>
      <w:r>
        <w:rPr>
          <w:rFonts w:hint="eastAsia" w:ascii="黑体" w:hAnsi="黑体" w:eastAsia="黑体" w:cs="黑体"/>
          <w:bCs/>
          <w:sz w:val="32"/>
          <w:szCs w:val="32"/>
          <w:u w:val="single"/>
        </w:rPr>
        <w:t xml:space="preserve">                      </w:t>
      </w:r>
    </w:p>
    <w:p/>
    <w:p/>
    <w:p/>
    <w:p/>
    <w:p/>
    <w:p/>
    <w:p/>
    <w:p/>
    <w:p/>
    <w:p/>
    <w:p/>
    <w:p/>
    <w:p/>
    <w:p>
      <w:pPr>
        <w:spacing w:line="960" w:lineRule="exact"/>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〇二〇</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五月</w:t>
      </w: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报告摘要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i w:val="0"/>
          <w:caps w:val="0"/>
          <w:color w:val="000000"/>
          <w:spacing w:val="0"/>
          <w:sz w:val="21"/>
          <w:szCs w:val="21"/>
          <w:shd w:val="clear" w:fill="FDFDFD"/>
          <w:lang w:val="en-US" w:eastAsia="zh-CN"/>
        </w:rPr>
      </w:pPr>
      <w:r>
        <w:rPr>
          <w:rFonts w:hint="eastAsia" w:ascii="宋体" w:hAnsi="宋体" w:eastAsia="宋体" w:cs="宋体"/>
          <w:i w:val="0"/>
          <w:caps w:val="0"/>
          <w:color w:val="000000"/>
          <w:spacing w:val="0"/>
          <w:sz w:val="21"/>
          <w:szCs w:val="21"/>
          <w:shd w:val="clear" w:fill="FDFDFD"/>
        </w:rPr>
        <w:t> </w:t>
      </w:r>
      <w:r>
        <w:rPr>
          <w:rFonts w:hint="eastAsia" w:ascii="宋体" w:hAnsi="宋体" w:eastAsia="宋体" w:cs="宋体"/>
          <w:i w:val="0"/>
          <w:caps w:val="0"/>
          <w:color w:val="000000"/>
          <w:spacing w:val="0"/>
          <w:sz w:val="21"/>
          <w:szCs w:val="21"/>
          <w:shd w:val="clear" w:fill="FDFDFD"/>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财政支出绩效评价是财政科学管理的重要手段，对提高财政资金的规范高效运作程度、增加财政资金的使用效果、促进政府财力的可持续发展以及有效转变政府职能等都具有重大意义。</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为了更科学地评价2019年度南昌市体育局体育赛事专项资金的绩效成果，提高财政资金安排的科学性，持续高效地开展体育赛事活动，南昌市体育局响应《中共中央 国务院关于全面实施预算绩效管理的意见》（中发[2018]34号）、《财政部关于印发项目支出绩效评价管理办法的通知》（财预〔2020〕10号）、《江西省财政厅关于开展2020年预算绩效管理有关工作的通知》（赣财绩〔2020〕4号）、《中共南昌市委、南昌市人民政府关于全面实施预算绩效管理的意见》（洪发〔2019〕13号）及《南昌市财政局关于开展2019年度市级部门财政项目支出绩效评价工作的通知》（洪财办〔2020〕10号）文件精神，委托江西惠普会计师事务所有限责任公司（以下简称“惠普会计师事务所”）作为第三方评估机构，参与2019年度南昌市体育局体育赛事专项资金的财政绩效评价</w:t>
      </w:r>
      <w:bookmarkStart w:id="44" w:name="_GoBack"/>
      <w:bookmarkEnd w:id="44"/>
      <w:r>
        <w:rPr>
          <w:rFonts w:hint="eastAsia" w:ascii="仿宋_GB2312" w:hAnsi="宋体" w:eastAsia="仿宋_GB2312" w:cs="仿宋_GB2312"/>
          <w:sz w:val="32"/>
          <w:szCs w:val="32"/>
          <w:lang w:val="en-US" w:eastAsia="zh-CN"/>
        </w:rPr>
        <w:t>工作。</w:t>
      </w:r>
    </w:p>
    <w:p>
      <w:pPr>
        <w:spacing w:line="960" w:lineRule="exact"/>
        <w:jc w:val="center"/>
        <w:rPr>
          <w:rFonts w:hint="eastAsia" w:ascii="仿宋" w:hAnsi="仿宋" w:eastAsia="仿宋" w:cs="仿宋"/>
          <w:b/>
          <w:bCs/>
          <w:sz w:val="32"/>
          <w:szCs w:val="32"/>
          <w:lang w:val="en-US" w:eastAsia="zh-CN"/>
        </w:rPr>
      </w:pPr>
    </w:p>
    <w:p>
      <w:pPr>
        <w:spacing w:line="960" w:lineRule="exact"/>
        <w:jc w:val="both"/>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spacing w:line="960" w:lineRule="exact"/>
        <w:jc w:val="both"/>
        <w:rPr>
          <w:rFonts w:hint="eastAsia" w:ascii="仿宋" w:hAnsi="仿宋" w:eastAsia="仿宋" w:cs="仿宋"/>
          <w:b/>
          <w:bCs/>
          <w:sz w:val="32"/>
          <w:szCs w:val="32"/>
          <w:lang w:val="en-US" w:eastAsia="zh-CN"/>
        </w:rPr>
      </w:pPr>
    </w:p>
    <w:p>
      <w:pPr>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目    录</w:t>
      </w:r>
    </w:p>
    <w:p>
      <w:pPr>
        <w:pStyle w:val="2"/>
        <w:rPr>
          <w:rFonts w:hint="eastAsia" w:ascii="仿宋" w:hAnsi="仿宋" w:eastAsia="仿宋" w:cs="仿宋"/>
          <w:b/>
          <w:bCs/>
          <w:sz w:val="48"/>
          <w:szCs w:val="48"/>
          <w:lang w:val="en-US" w:eastAsia="zh-CN"/>
        </w:rPr>
      </w:pPr>
    </w:p>
    <w:p>
      <w:pPr>
        <w:pStyle w:val="9"/>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"1-3" \h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_Toc14829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一、 项目基本情况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_Toc14829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_Toc12283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（一) 项目概况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_Toc12283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_Toc24754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1、 立项背景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_Toc24754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_Toc21660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2、立项目的</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_Toc21660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_Toc27293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3、项目内容、执行依据和实施期限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_Toc27293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_Toc1931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4、资金投入和使用情况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_Toc1931 </w:instrText>
      </w:r>
      <w:r>
        <w:rPr>
          <w:rFonts w:hint="eastAsia" w:ascii="黑体" w:hAnsi="黑体" w:eastAsia="黑体" w:cs="黑体"/>
          <w:sz w:val="28"/>
          <w:szCs w:val="28"/>
        </w:rPr>
        <w:fldChar w:fldCharType="separate"/>
      </w:r>
      <w:r>
        <w:rPr>
          <w:rFonts w:hint="eastAsia"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_Toc14172 </w:instrText>
      </w:r>
      <w:r>
        <w:rPr>
          <w:rFonts w:hint="eastAsia" w:ascii="黑体" w:hAnsi="黑体" w:eastAsia="黑体" w:cs="黑体"/>
          <w:sz w:val="28"/>
          <w:szCs w:val="28"/>
        </w:rPr>
        <w:fldChar w:fldCharType="separate"/>
      </w:r>
      <w:r>
        <w:rPr>
          <w:rFonts w:hint="eastAsia" w:ascii="黑体" w:hAnsi="黑体" w:eastAsia="黑体" w:cs="黑体"/>
          <w:sz w:val="28"/>
          <w:szCs w:val="28"/>
        </w:rPr>
        <w:t>二、绩效评价工作</w:t>
      </w:r>
      <w:r>
        <w:rPr>
          <w:rFonts w:hint="eastAsia" w:ascii="黑体" w:hAnsi="黑体" w:eastAsia="黑体" w:cs="黑体"/>
          <w:sz w:val="28"/>
          <w:szCs w:val="28"/>
          <w:lang w:eastAsia="zh-CN"/>
        </w:rPr>
        <w:t>开展</w:t>
      </w:r>
      <w:r>
        <w:rPr>
          <w:rFonts w:hint="eastAsia" w:ascii="黑体" w:hAnsi="黑体" w:eastAsia="黑体" w:cs="黑体"/>
          <w:sz w:val="28"/>
          <w:szCs w:val="28"/>
        </w:rPr>
        <w:t>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_Toc14172 </w:instrText>
      </w:r>
      <w:r>
        <w:rPr>
          <w:rFonts w:hint="eastAsia" w:ascii="黑体" w:hAnsi="黑体" w:eastAsia="黑体" w:cs="黑体"/>
          <w:sz w:val="28"/>
          <w:szCs w:val="28"/>
        </w:rPr>
        <w:fldChar w:fldCharType="separate"/>
      </w:r>
      <w:r>
        <w:rPr>
          <w:rFonts w:hint="eastAsia"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_Toc27085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（一）绩效评价目的</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_Toc27085 </w:instrText>
      </w:r>
      <w:r>
        <w:rPr>
          <w:rFonts w:hint="eastAsia" w:ascii="黑体" w:hAnsi="黑体" w:eastAsia="黑体" w:cs="黑体"/>
          <w:sz w:val="28"/>
          <w:szCs w:val="28"/>
        </w:rPr>
        <w:fldChar w:fldCharType="separate"/>
      </w:r>
      <w:r>
        <w:rPr>
          <w:rFonts w:hint="eastAsia"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6"/>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_Toc19394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（二）</w:t>
      </w:r>
      <w:r>
        <w:rPr>
          <w:rFonts w:hint="eastAsia" w:ascii="黑体" w:hAnsi="黑体" w:eastAsia="黑体" w:cs="黑体"/>
          <w:bCs w:val="0"/>
          <w:sz w:val="28"/>
          <w:szCs w:val="28"/>
          <w:lang w:val="en-US" w:eastAsia="zh-CN"/>
        </w:rPr>
        <w:t>绩效评价原则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_Toc19394 </w:instrText>
      </w:r>
      <w:r>
        <w:rPr>
          <w:rFonts w:hint="eastAsia" w:ascii="黑体" w:hAnsi="黑体" w:eastAsia="黑体" w:cs="黑体"/>
          <w:sz w:val="28"/>
          <w:szCs w:val="28"/>
        </w:rPr>
        <w:fldChar w:fldCharType="separate"/>
      </w:r>
      <w:r>
        <w:rPr>
          <w:rFonts w:hint="eastAsia"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_Toc15677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三、综合评价结论</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_Toc15677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_Toc22825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四、 绩效评价指标分析情况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_Toc22825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_Toc20727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（一） 项目决策情况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_Toc20727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_Toc28872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（二） 项目过程情况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_Toc28872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0"/>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_Toc19101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（三） 效益指标完成情况分析</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_Toc19101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tabs>
          <w:tab w:val="right" w:leader="dot" w:pos="8306"/>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_Toc7205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五、绩效评价结果应用建议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_Toc7205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2"/>
        <w:rPr>
          <w:rFonts w:hint="eastAsia" w:ascii="黑体" w:hAnsi="黑体" w:eastAsia="黑体" w:cs="黑体"/>
          <w:b w:val="0"/>
          <w:bCs/>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28"/>
          <w:szCs w:val="28"/>
        </w:rPr>
        <w:fldChar w:fldCharType="end"/>
      </w:r>
      <w:bookmarkStart w:id="4" w:name="_Toc20354"/>
    </w:p>
    <w:p>
      <w:pPr>
        <w:pStyle w:val="3"/>
        <w:keepNext/>
        <w:keepLines/>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5" w:name="_Toc14829"/>
      <w:r>
        <w:rPr>
          <w:rFonts w:hint="eastAsia" w:ascii="黑体" w:hAnsi="黑体" w:eastAsia="黑体" w:cs="黑体"/>
          <w:b w:val="0"/>
          <w:bCs/>
          <w:lang w:val="en-US" w:eastAsia="zh-CN"/>
        </w:rPr>
        <w:t>项目基本情况</w:t>
      </w:r>
      <w:bookmarkEnd w:id="4"/>
      <w:bookmarkEnd w:id="5"/>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6" w:name="_Toc10554"/>
      <w:bookmarkStart w:id="7" w:name="_Toc27502"/>
      <w:bookmarkStart w:id="8" w:name="_Toc12283"/>
      <w:r>
        <w:rPr>
          <w:rFonts w:hint="eastAsia" w:ascii="黑体" w:hAnsi="黑体" w:eastAsia="黑体" w:cs="黑体"/>
          <w:b w:val="0"/>
          <w:bCs/>
          <w:lang w:val="en-US" w:eastAsia="zh-CN"/>
        </w:rPr>
        <w:t>项目概况</w:t>
      </w:r>
      <w:bookmarkEnd w:id="6"/>
      <w:bookmarkEnd w:id="7"/>
      <w:bookmarkEnd w:id="8"/>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9" w:name="_Toc24754"/>
      <w:bookmarkStart w:id="10" w:name="_Toc20799"/>
      <w:bookmarkStart w:id="11" w:name="_Toc8481"/>
      <w:r>
        <w:rPr>
          <w:rFonts w:hint="eastAsia" w:ascii="黑体" w:hAnsi="黑体" w:eastAsia="黑体" w:cs="黑体"/>
          <w:b w:val="0"/>
          <w:bCs/>
          <w:lang w:val="en-US" w:eastAsia="zh-CN"/>
        </w:rPr>
        <w:t>立项背景</w:t>
      </w:r>
      <w:bookmarkEnd w:id="9"/>
      <w:bookmarkEnd w:id="10"/>
      <w:bookmarkEnd w:id="11"/>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val="0"/>
          <w:kern w:val="2"/>
          <w:sz w:val="32"/>
          <w:szCs w:val="32"/>
          <w:lang w:val="en-US" w:eastAsia="zh-CN" w:bidi="ar-SA"/>
        </w:rPr>
      </w:pPr>
      <w:r>
        <w:rPr>
          <w:rFonts w:hint="eastAsia"/>
          <w:lang w:val="en-US" w:eastAsia="zh-CN"/>
        </w:rPr>
        <w:t xml:space="preserve">      </w:t>
      </w:r>
      <w:r>
        <w:rPr>
          <w:rFonts w:hint="eastAsia" w:ascii="仿宋_GB2312" w:hAnsi="宋体" w:eastAsia="仿宋_GB2312" w:cs="仿宋_GB2312"/>
          <w:b w:val="0"/>
          <w:kern w:val="2"/>
          <w:sz w:val="32"/>
          <w:szCs w:val="32"/>
          <w:lang w:val="en-US" w:eastAsia="zh-CN" w:bidi="ar-SA"/>
        </w:rPr>
        <w:t>大型体育竞赛规模庞大，同时要消耗大量资金，经费不足成了困扰着体育界的一大问题，影响着各地举办体育赛事的积极性。为了解决这一问题，设立体育赛事专项资金促进大型体育活动的顺利开展。</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szCs w:val="22"/>
          <w:lang w:val="en-US" w:eastAsia="zh-CN"/>
        </w:rPr>
      </w:pPr>
      <w:bookmarkStart w:id="12" w:name="_Toc21660"/>
      <w:r>
        <w:rPr>
          <w:rFonts w:hint="eastAsia" w:ascii="黑体" w:hAnsi="黑体" w:eastAsia="黑体" w:cs="黑体"/>
          <w:b w:val="0"/>
          <w:bCs/>
          <w:szCs w:val="22"/>
          <w:lang w:val="en-US" w:eastAsia="zh-CN"/>
        </w:rPr>
        <w:t>2、立项目的</w:t>
      </w:r>
      <w:bookmarkEnd w:id="12"/>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保障大型体育赛事活动的顺利开展，发现和培养更多的竞技体育后备人才，促进体育事业全面可持续发展，进一步推动体育强国建设。</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13" w:name="_Toc25692"/>
      <w:bookmarkStart w:id="14" w:name="_Toc22369"/>
      <w:bookmarkStart w:id="15" w:name="_Toc27293"/>
      <w:bookmarkStart w:id="16" w:name="_Toc1237"/>
      <w:r>
        <w:rPr>
          <w:rFonts w:hint="eastAsia" w:ascii="黑体" w:hAnsi="黑体" w:eastAsia="黑体" w:cs="黑体"/>
          <w:b w:val="0"/>
          <w:bCs/>
          <w:lang w:val="en-US" w:eastAsia="zh-CN"/>
        </w:rPr>
        <w:t>3、项目内容、执行依据和实施期限</w:t>
      </w:r>
      <w:bookmarkEnd w:id="13"/>
      <w:bookmarkEnd w:id="14"/>
      <w:bookmarkEnd w:id="15"/>
      <w:bookmarkEnd w:id="16"/>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（1）项目内容</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为贯彻军民融合发展战略，适应国家体育改革发展方向，充分发挥军队体育特色优势，积极探索军地体育深度融合发展新路径，2019年南昌市体育局体育赛事专项资金主要用在“八一南昌”合作共建项目上，打造“八一南昌”军事体育品牌。</w:t>
      </w:r>
    </w:p>
    <w:p>
      <w:pPr>
        <w:keepNext w:val="0"/>
        <w:keepLines w:val="0"/>
        <w:pageBreakBefore w:val="0"/>
        <w:widowControl w:val="0"/>
        <w:numPr>
          <w:ilvl w:val="0"/>
          <w:numId w:val="4"/>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执行依据</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①《南昌市人民政府办公厅抄告单》（洪府厅抄字〔2018〕751号）；</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②南昌市人民政府办公厅关于《南昌市体育赛事专项资金管理暂行办法》的批复（洪府厅字〔2016〕194号）；</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（3）项目实施期限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项目实施周期为2019年1月1日至2019年12月31日。</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pStyle w:val="2"/>
        <w:rPr>
          <w:rFonts w:hint="eastAsia" w:ascii="仿宋_GB2312" w:hAnsi="宋体" w:eastAsia="仿宋_GB2312" w:cs="仿宋_GB2312"/>
          <w:sz w:val="32"/>
          <w:szCs w:val="32"/>
          <w:lang w:val="en-US" w:eastAsia="zh-CN"/>
        </w:rPr>
      </w:pP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17" w:name="_Toc10179"/>
      <w:bookmarkStart w:id="18" w:name="_Toc18405"/>
      <w:bookmarkStart w:id="19" w:name="_Toc1931"/>
      <w:r>
        <w:rPr>
          <w:rFonts w:hint="eastAsia" w:ascii="黑体" w:hAnsi="黑体" w:eastAsia="黑体" w:cs="黑体"/>
          <w:b w:val="0"/>
          <w:bCs/>
          <w:lang w:val="en-US" w:eastAsia="zh-CN"/>
        </w:rPr>
        <w:t>4、资金投入和使用情况</w:t>
      </w:r>
      <w:bookmarkEnd w:id="17"/>
      <w:bookmarkEnd w:id="18"/>
      <w:bookmarkEnd w:id="19"/>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2019年南昌市体育局体育赛事专项资金预算安排金额2100万，实际到位金额2100万，实际使用2000万，项目资金结余100万。根据《南昌市人民政府办公厅抄告单》（洪府厅抄字〔2018〕751号）文件要求，从体育赛事专项资金中划入2000万投入到“八一南昌”合作共建项目上，推动军民融合发展。</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sz w:val="36"/>
          <w:szCs w:val="36"/>
        </w:rPr>
      </w:pPr>
      <w:bookmarkStart w:id="20" w:name="_Toc30331"/>
      <w:bookmarkStart w:id="21" w:name="_Toc14172"/>
      <w:bookmarkStart w:id="22" w:name="_Toc7522"/>
      <w:r>
        <w:rPr>
          <w:rFonts w:hint="eastAsia" w:ascii="黑体" w:hAnsi="黑体" w:eastAsia="黑体" w:cs="黑体"/>
          <w:sz w:val="36"/>
          <w:szCs w:val="36"/>
        </w:rPr>
        <w:t>二、绩效评价工作</w:t>
      </w:r>
      <w:r>
        <w:rPr>
          <w:rFonts w:hint="eastAsia" w:ascii="黑体" w:hAnsi="黑体" w:eastAsia="黑体" w:cs="黑体"/>
          <w:sz w:val="36"/>
          <w:szCs w:val="36"/>
          <w:lang w:eastAsia="zh-CN"/>
        </w:rPr>
        <w:t>开展</w:t>
      </w:r>
      <w:r>
        <w:rPr>
          <w:rFonts w:hint="eastAsia" w:ascii="黑体" w:hAnsi="黑体" w:eastAsia="黑体" w:cs="黑体"/>
          <w:sz w:val="36"/>
          <w:szCs w:val="36"/>
        </w:rPr>
        <w:t>情况</w:t>
      </w:r>
      <w:bookmarkEnd w:id="20"/>
      <w:bookmarkEnd w:id="21"/>
      <w:bookmarkEnd w:id="22"/>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textAlignment w:val="auto"/>
        <w:rPr>
          <w:rFonts w:hint="eastAsia" w:ascii="黑体" w:hAnsi="黑体" w:eastAsia="黑体" w:cs="黑体"/>
          <w:b w:val="0"/>
          <w:bCs/>
          <w:szCs w:val="22"/>
          <w:lang w:val="en-US" w:eastAsia="zh-CN"/>
        </w:rPr>
      </w:pPr>
      <w:bookmarkStart w:id="23" w:name="_Toc26464"/>
      <w:bookmarkStart w:id="24" w:name="_Toc5900"/>
      <w:bookmarkStart w:id="25" w:name="_Toc27085"/>
      <w:r>
        <w:rPr>
          <w:rFonts w:hint="eastAsia" w:ascii="黑体" w:hAnsi="黑体" w:eastAsia="黑体" w:cs="黑体"/>
          <w:b w:val="0"/>
          <w:bCs/>
          <w:szCs w:val="22"/>
          <w:lang w:val="en-US" w:eastAsia="zh-CN"/>
        </w:rPr>
        <w:t>（一）绩效评价目的</w:t>
      </w:r>
      <w:bookmarkEnd w:id="23"/>
      <w:bookmarkEnd w:id="24"/>
      <w:bookmarkEnd w:id="25"/>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本次绩效评价的主要目的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1.掌握2019年度南昌市体育局体育赛事专项资金申请拨付以及使用情况；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2.了解2019年度南昌市体育局体育赛事专项资金的产出与效果；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3.发现项目经费使用及项目实施中存在的不足和问题，并提出有针对性、可操作的解决对策。</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bCs w:val="0"/>
          <w:szCs w:val="22"/>
          <w:lang w:val="en-US" w:eastAsia="zh-CN"/>
        </w:rPr>
      </w:pPr>
      <w:bookmarkStart w:id="26" w:name="_Toc19394"/>
      <w:bookmarkStart w:id="27" w:name="_Toc530"/>
      <w:bookmarkStart w:id="28" w:name="_Toc28699"/>
      <w:r>
        <w:rPr>
          <w:rFonts w:hint="eastAsia" w:ascii="黑体" w:hAnsi="黑体" w:eastAsia="黑体" w:cs="黑体"/>
          <w:b w:val="0"/>
          <w:bCs/>
          <w:szCs w:val="22"/>
          <w:lang w:val="en-US" w:eastAsia="zh-CN"/>
        </w:rPr>
        <w:t>（二）</w:t>
      </w:r>
      <w:r>
        <w:rPr>
          <w:rFonts w:hint="eastAsia"/>
          <w:b/>
          <w:bCs w:val="0"/>
          <w:szCs w:val="22"/>
          <w:lang w:val="en-US" w:eastAsia="zh-CN"/>
        </w:rPr>
        <w:t>绩效评价原则</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（1）科学规范原则。绩效评价应当严格执行规定的程序，按照科学可行的要求，采用定量与定性分析相结合的方法，对项目进行客观的评价。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（3）分级分类原则。绩效评价由各级财政部门、各级预算部门根据评价对象的特点分类组织实施。</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黑体" w:hAnsi="黑体" w:eastAsia="黑体" w:cs="黑体"/>
          <w:b w:val="0"/>
          <w:bCs/>
          <w:szCs w:val="22"/>
          <w:lang w:val="en-US" w:eastAsia="zh-CN"/>
        </w:rPr>
      </w:pPr>
      <w:bookmarkStart w:id="29" w:name="_Toc19809"/>
      <w:bookmarkStart w:id="30" w:name="_Toc15677"/>
      <w:bookmarkStart w:id="31" w:name="_Toc32339"/>
      <w:bookmarkStart w:id="32" w:name="_Toc26373"/>
      <w:r>
        <w:rPr>
          <w:rFonts w:hint="eastAsia" w:ascii="黑体" w:hAnsi="黑体" w:eastAsia="黑体" w:cs="黑体"/>
          <w:b w:val="0"/>
          <w:bCs/>
          <w:lang w:val="en-US" w:eastAsia="zh-CN"/>
        </w:rPr>
        <w:t>三、综合评价结论</w:t>
      </w:r>
      <w:bookmarkEnd w:id="29"/>
      <w:bookmarkEnd w:id="30"/>
      <w:bookmarkEnd w:id="31"/>
      <w:bookmarkEnd w:id="32"/>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综合来看，2019年南昌市体育局体育赛事专项资金投入效果较好，八一队屡屡在国际大赛上摘金夺银，与八一队的深度合作，将进一步提升“天下英雄城”品牌的塑造，推动城市转型升级。</w:t>
      </w:r>
    </w:p>
    <w:p>
      <w:pPr>
        <w:pStyle w:val="3"/>
        <w:keepNext/>
        <w:keepLines/>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黑体" w:hAnsi="黑体" w:eastAsia="黑体" w:cs="黑体"/>
          <w:b w:val="0"/>
          <w:bCs/>
          <w:szCs w:val="22"/>
          <w:lang w:val="en-US" w:eastAsia="zh-CN"/>
        </w:rPr>
      </w:pPr>
      <w:bookmarkStart w:id="33" w:name="_Toc14416"/>
      <w:bookmarkStart w:id="34" w:name="_Toc13817"/>
      <w:bookmarkStart w:id="35" w:name="_Toc22825"/>
      <w:r>
        <w:rPr>
          <w:rFonts w:hint="eastAsia" w:ascii="黑体" w:hAnsi="黑体" w:eastAsia="黑体" w:cs="黑体"/>
          <w:b w:val="0"/>
          <w:bCs/>
          <w:szCs w:val="22"/>
          <w:lang w:val="en-US" w:eastAsia="zh-CN"/>
        </w:rPr>
        <w:t>绩效评价指标分析情况</w:t>
      </w:r>
      <w:bookmarkEnd w:id="33"/>
      <w:bookmarkEnd w:id="34"/>
      <w:bookmarkEnd w:id="35"/>
    </w:p>
    <w:p>
      <w:pPr>
        <w:pStyle w:val="4"/>
        <w:keepNext/>
        <w:keepLines/>
        <w:pageBreakBefore w:val="0"/>
        <w:widowControl w:val="0"/>
        <w:numPr>
          <w:ilvl w:val="0"/>
          <w:numId w:val="6"/>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36" w:name="_Toc20727"/>
      <w:r>
        <w:rPr>
          <w:rFonts w:hint="eastAsia"/>
          <w:b w:val="0"/>
          <w:bCs/>
          <w:lang w:val="en-US" w:eastAsia="zh-CN"/>
        </w:rPr>
        <w:t>项目决策情况</w:t>
      </w:r>
      <w:bookmarkEnd w:id="36"/>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根据《南昌市人民政府办公厅抄告单》（洪府厅抄字〔2018〕751号）文件要求，南昌市体育局从体育赛事专项资金中划入2000万投入到“八一南昌”合作共建项目上，推动军民融合发展。</w:t>
      </w:r>
    </w:p>
    <w:p>
      <w:pPr>
        <w:pStyle w:val="4"/>
        <w:keepNext/>
        <w:keepLines/>
        <w:pageBreakBefore w:val="0"/>
        <w:widowControl w:val="0"/>
        <w:numPr>
          <w:ilvl w:val="0"/>
          <w:numId w:val="6"/>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37" w:name="_Toc28872"/>
      <w:r>
        <w:rPr>
          <w:rFonts w:hint="eastAsia"/>
          <w:b w:val="0"/>
          <w:bCs/>
          <w:lang w:val="en-US" w:eastAsia="zh-CN"/>
        </w:rPr>
        <w:t>项目过程情况</w:t>
      </w:r>
      <w:bookmarkEnd w:id="37"/>
      <w:bookmarkStart w:id="38" w:name="_Toc22724"/>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default"/>
          <w:b w:val="0"/>
          <w:bCs/>
          <w:szCs w:val="22"/>
          <w:lang w:val="en-US" w:eastAsia="zh-CN"/>
        </w:rPr>
      </w:pPr>
      <w:bookmarkStart w:id="39" w:name="_Toc32214"/>
      <w:r>
        <w:rPr>
          <w:rFonts w:hint="eastAsia"/>
          <w:b w:val="0"/>
          <w:bCs/>
          <w:szCs w:val="22"/>
          <w:lang w:val="en-US" w:eastAsia="zh-CN"/>
        </w:rPr>
        <w:t>1、预算资金执行率</w:t>
      </w:r>
      <w:bookmarkEnd w:id="39"/>
    </w:p>
    <w:bookmarkEnd w:id="38"/>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2019年南昌市体育局体育赛事专项资金预算安排金额2100万，实际到位金额2100万，实际支出2000万，预算执行率为95.24%。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Arial" w:hAnsi="Arial" w:eastAsia="黑体" w:cs="Times New Roman"/>
          <w:b w:val="0"/>
          <w:bCs/>
          <w:kern w:val="2"/>
          <w:sz w:val="32"/>
          <w:szCs w:val="22"/>
          <w:lang w:val="en-US" w:eastAsia="zh-CN" w:bidi="ar-SA"/>
        </w:rPr>
      </w:pPr>
      <w:r>
        <w:rPr>
          <w:rFonts w:hint="eastAsia" w:ascii="Arial" w:hAnsi="Arial" w:eastAsia="黑体" w:cs="Times New Roman"/>
          <w:b w:val="0"/>
          <w:bCs/>
          <w:kern w:val="2"/>
          <w:sz w:val="32"/>
          <w:szCs w:val="22"/>
          <w:lang w:val="en-US" w:eastAsia="zh-CN" w:bidi="ar-SA"/>
        </w:rPr>
        <w:t>2、财务管理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该项目严格按照南昌市体育局财务管理制度的要求，实行专款专用。该项目资金的申请、审核、拨付规范、不存在杜绝挤占、挪用等违规行为。</w:t>
      </w:r>
    </w:p>
    <w:p>
      <w:pPr>
        <w:pStyle w:val="4"/>
        <w:keepNext/>
        <w:keepLines/>
        <w:pageBreakBefore w:val="0"/>
        <w:widowControl w:val="0"/>
        <w:numPr>
          <w:ilvl w:val="0"/>
          <w:numId w:val="6"/>
        </w:numPr>
        <w:kinsoku/>
        <w:wordWrap/>
        <w:overflowPunct/>
        <w:topLinePunct w:val="0"/>
        <w:autoSpaceDE/>
        <w:autoSpaceDN/>
        <w:bidi w:val="0"/>
        <w:adjustRightInd/>
        <w:snapToGrid/>
        <w:spacing w:before="0" w:after="0" w:line="500" w:lineRule="exact"/>
        <w:textAlignment w:val="auto"/>
        <w:rPr>
          <w:rFonts w:hint="default"/>
          <w:b w:val="0"/>
          <w:bCs/>
          <w:szCs w:val="22"/>
          <w:lang w:val="en-US" w:eastAsia="zh-CN"/>
        </w:rPr>
      </w:pPr>
      <w:bookmarkStart w:id="40" w:name="_Toc19919"/>
      <w:bookmarkStart w:id="41" w:name="_Toc19101"/>
      <w:r>
        <w:rPr>
          <w:rFonts w:hint="eastAsia"/>
          <w:b w:val="0"/>
          <w:bCs/>
          <w:szCs w:val="22"/>
          <w:lang w:val="en-US" w:eastAsia="zh-CN"/>
        </w:rPr>
        <w:t>效益指标完成情况分析</w:t>
      </w:r>
      <w:bookmarkEnd w:id="40"/>
      <w:bookmarkEnd w:id="41"/>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default" w:ascii="Times New Roman" w:hAnsi="Times New Roman" w:eastAsia="宋体" w:cs="Times New Roman"/>
          <w:b/>
          <w:bCs w:val="0"/>
          <w:kern w:val="2"/>
          <w:sz w:val="32"/>
          <w:szCs w:val="22"/>
          <w:lang w:val="en-US" w:eastAsia="zh-CN" w:bidi="ar-SA"/>
        </w:rPr>
      </w:pPr>
      <w:r>
        <w:rPr>
          <w:rFonts w:hint="eastAsia" w:ascii="Times New Roman" w:hAnsi="Times New Roman" w:eastAsia="宋体" w:cs="Times New Roman"/>
          <w:b/>
          <w:bCs w:val="0"/>
          <w:kern w:val="2"/>
          <w:sz w:val="32"/>
          <w:szCs w:val="22"/>
          <w:lang w:val="en-US" w:eastAsia="zh-CN" w:bidi="ar-SA"/>
        </w:rPr>
        <w:t>1、经济效益</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推动城市经济的发展。</w:t>
      </w:r>
      <w:r>
        <w:rPr>
          <w:rFonts w:hint="eastAsia" w:ascii="仿宋_GB2312" w:hAnsi="宋体" w:eastAsia="仿宋_GB2312" w:cs="仿宋_GB2312"/>
          <w:kern w:val="2"/>
          <w:sz w:val="32"/>
          <w:szCs w:val="32"/>
          <w:lang w:val="en-US" w:eastAsia="zh-CN" w:bidi="ar-SA"/>
        </w:rPr>
        <w:t>合作共建一年来，“八一南昌”篮球、排球、乒乓球、足球等项目七支运动队依托红谷滩新区、南昌县、西湖区、高新区先后组织开展了近80场主场比赛。</w:t>
      </w:r>
      <w:r>
        <w:rPr>
          <w:rFonts w:hint="eastAsia" w:ascii="仿宋_GB2312" w:hAnsi="宋体" w:eastAsia="仿宋_GB2312" w:cs="仿宋_GB2312"/>
          <w:b w:val="0"/>
          <w:kern w:val="2"/>
          <w:sz w:val="32"/>
          <w:szCs w:val="32"/>
          <w:lang w:val="en-US" w:eastAsia="zh-CN" w:bidi="ar-SA"/>
        </w:rPr>
        <w:t>大型体育赛事活动的开展，吸引了大量游客前来参观，可以促进当地餐饮和住宿的发展，带动消费。与此同时，体育比赛引发了人们对体育运动的关注，从而带动全民健身运动的发展，扩大体育用品的需求，刺激体育产业的发展。</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default" w:ascii="Times New Roman" w:hAnsi="Times New Roman" w:eastAsia="宋体" w:cs="Times New Roman"/>
          <w:b/>
          <w:bCs w:val="0"/>
          <w:kern w:val="2"/>
          <w:sz w:val="32"/>
          <w:szCs w:val="22"/>
          <w:lang w:val="en-US" w:eastAsia="zh-CN" w:bidi="ar-SA"/>
        </w:rPr>
      </w:pPr>
      <w:r>
        <w:rPr>
          <w:rFonts w:hint="eastAsia" w:ascii="Times New Roman" w:hAnsi="Times New Roman" w:eastAsia="宋体" w:cs="Times New Roman"/>
          <w:b/>
          <w:bCs w:val="0"/>
          <w:kern w:val="2"/>
          <w:sz w:val="32"/>
          <w:szCs w:val="22"/>
          <w:lang w:val="en-US" w:eastAsia="zh-CN" w:bidi="ar-SA"/>
        </w:rPr>
        <w:t>2、社会效益</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 xml:space="preserve"> 提升城市形象。</w:t>
      </w:r>
      <w:r>
        <w:rPr>
          <w:rFonts w:hint="eastAsia" w:ascii="仿宋_GB2312" w:hAnsi="宋体" w:eastAsia="仿宋_GB2312" w:cs="仿宋_GB2312"/>
          <w:kern w:val="2"/>
          <w:sz w:val="32"/>
          <w:szCs w:val="32"/>
          <w:lang w:val="en-US" w:eastAsia="zh-CN" w:bidi="ar-SA"/>
        </w:rPr>
        <w:t>合作共建一年来，八一南昌队取得丰硕成果，在国内外比赛中共夺取金牌197枚、银牌160枚、铜牌164枚。八一南昌”各项目队均取得较好成绩，各项高水平赛事得到了中央媒体的高度关注，其中中央电视台直播“八一南昌”主客场赛事近30场，进一步激活了我市体育市场，擦亮了“天下英雄城”城市名片。例如，在第七届世界军人运动会上，我军体育健儿身披“八一南昌”标识的比赛服、领奖服高频亮相，极大地推介了“八一南昌”品牌和南昌城市影响力。提升了城市形象。</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default" w:ascii="Times New Roman" w:hAnsi="Times New Roman" w:eastAsia="宋体" w:cs="Times New Roman"/>
          <w:b/>
          <w:bCs w:val="0"/>
          <w:kern w:val="2"/>
          <w:sz w:val="32"/>
          <w:szCs w:val="22"/>
          <w:lang w:val="en-US" w:eastAsia="zh-CN" w:bidi="ar-SA"/>
        </w:rPr>
      </w:pPr>
      <w:r>
        <w:rPr>
          <w:rFonts w:hint="eastAsia" w:ascii="Times New Roman" w:hAnsi="Times New Roman" w:eastAsia="宋体" w:cs="Times New Roman"/>
          <w:b/>
          <w:bCs w:val="0"/>
          <w:kern w:val="2"/>
          <w:sz w:val="32"/>
          <w:szCs w:val="22"/>
          <w:lang w:val="en-US" w:eastAsia="zh-CN" w:bidi="ar-SA"/>
        </w:rPr>
        <w:t>3、可持续影响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b/>
          <w:bCs/>
          <w:kern w:val="2"/>
          <w:sz w:val="32"/>
          <w:szCs w:val="32"/>
          <w:lang w:val="en-US" w:eastAsia="zh-CN" w:bidi="ar-SA"/>
        </w:rPr>
        <w:t>建立了长效机制。</w:t>
      </w:r>
      <w:r>
        <w:rPr>
          <w:rFonts w:hint="eastAsia" w:ascii="仿宋_GB2312" w:hAnsi="宋体" w:eastAsia="仿宋_GB2312" w:cs="仿宋_GB2312"/>
          <w:kern w:val="2"/>
          <w:sz w:val="32"/>
          <w:szCs w:val="32"/>
          <w:lang w:val="en-US" w:eastAsia="zh-CN" w:bidi="ar-SA"/>
        </w:rPr>
        <w:t>按照合作共建计划，中国人民解放军所有军体项目运动队将以“八一南昌”之名，参加国家体育总局或体育单项协会举办的年度赛事，并在国际军体理事会举办的赛事中穿着印有“八一南昌××队”标识的运动服装。同时，双方还将在人才培养、运动康复、体育科研等方面展开全方位合作。较好的机制保障，双方的通力合作，八一合作共建项目必将成为必将成为体育领域乃至国家军民融合领域的标杆典范。</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黑体" w:hAnsi="黑体" w:eastAsia="黑体" w:cs="黑体"/>
          <w:b w:val="0"/>
          <w:bCs/>
          <w:szCs w:val="22"/>
          <w:lang w:val="en-US" w:eastAsia="zh-CN"/>
        </w:rPr>
      </w:pPr>
      <w:bookmarkStart w:id="42" w:name="_Toc26309"/>
      <w:bookmarkStart w:id="43" w:name="_Toc7205"/>
      <w:r>
        <w:rPr>
          <w:rFonts w:hint="eastAsia" w:ascii="黑体" w:hAnsi="黑体" w:eastAsia="黑体" w:cs="黑体"/>
          <w:b w:val="0"/>
          <w:bCs/>
          <w:szCs w:val="22"/>
          <w:lang w:val="en-US" w:eastAsia="zh-CN"/>
        </w:rPr>
        <w:t>五、绩效评价结果应用建议</w:t>
      </w:r>
      <w:bookmarkEnd w:id="42"/>
      <w:bookmarkEnd w:id="43"/>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绩效评价结果作为财政部门每年安排部门预算的重要依据，为预算编制提供参考。利用绩效监督结果，促进部门增强责任和效益观念，提高财政资金支出决策水平、管理水平和资金使用效果。由于该项目投入领域的特殊性，此评价报告仅限于内部使用。</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 xml:space="preserve">               江西惠普会计师事务所有限责任公司</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 xml:space="preserve">                       2020年5月24日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left"/>
        <w:textAlignment w:val="auto"/>
        <w:rPr>
          <w:rFonts w:hint="default" w:ascii="仿宋_GB2312" w:hAnsi="宋体" w:eastAsia="仿宋_GB2312" w:cs="仿宋_GB2312"/>
          <w:kern w:val="2"/>
          <w:sz w:val="32"/>
          <w:szCs w:val="32"/>
          <w:lang w:val="en-US" w:eastAsia="zh-CN" w:bidi="ar-SA"/>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BC4C9"/>
    <w:multiLevelType w:val="singleLevel"/>
    <w:tmpl w:val="99BBC4C9"/>
    <w:lvl w:ilvl="0" w:tentative="0">
      <w:start w:val="1"/>
      <w:numFmt w:val="chineseCounting"/>
      <w:lvlText w:val="（%1)"/>
      <w:lvlJc w:val="left"/>
      <w:pPr>
        <w:tabs>
          <w:tab w:val="left" w:pos="312"/>
        </w:tabs>
      </w:pPr>
      <w:rPr>
        <w:rFonts w:hint="eastAsia"/>
      </w:rPr>
    </w:lvl>
  </w:abstractNum>
  <w:abstractNum w:abstractNumId="1">
    <w:nsid w:val="BA955BFD"/>
    <w:multiLevelType w:val="singleLevel"/>
    <w:tmpl w:val="BA955BFD"/>
    <w:lvl w:ilvl="0" w:tentative="0">
      <w:start w:val="2"/>
      <w:numFmt w:val="decimal"/>
      <w:suff w:val="nothing"/>
      <w:lvlText w:val="（%1）"/>
      <w:lvlJc w:val="left"/>
    </w:lvl>
  </w:abstractNum>
  <w:abstractNum w:abstractNumId="2">
    <w:nsid w:val="EECBED73"/>
    <w:multiLevelType w:val="singleLevel"/>
    <w:tmpl w:val="EECBED73"/>
    <w:lvl w:ilvl="0" w:tentative="0">
      <w:start w:val="4"/>
      <w:numFmt w:val="chineseCounting"/>
      <w:suff w:val="nothing"/>
      <w:lvlText w:val="%1、"/>
      <w:lvlJc w:val="left"/>
      <w:rPr>
        <w:rFonts w:hint="eastAsia"/>
      </w:rPr>
    </w:lvl>
  </w:abstractNum>
  <w:abstractNum w:abstractNumId="3">
    <w:nsid w:val="17478350"/>
    <w:multiLevelType w:val="singleLevel"/>
    <w:tmpl w:val="17478350"/>
    <w:lvl w:ilvl="0" w:tentative="0">
      <w:start w:val="1"/>
      <w:numFmt w:val="decimal"/>
      <w:suff w:val="nothing"/>
      <w:lvlText w:val="%1、"/>
      <w:lvlJc w:val="left"/>
    </w:lvl>
  </w:abstractNum>
  <w:abstractNum w:abstractNumId="4">
    <w:nsid w:val="62763A74"/>
    <w:multiLevelType w:val="singleLevel"/>
    <w:tmpl w:val="62763A74"/>
    <w:lvl w:ilvl="0" w:tentative="0">
      <w:start w:val="1"/>
      <w:numFmt w:val="chineseCounting"/>
      <w:suff w:val="nothing"/>
      <w:lvlText w:val="（%1）"/>
      <w:lvlJc w:val="left"/>
      <w:rPr>
        <w:rFonts w:hint="eastAsia"/>
      </w:rPr>
    </w:lvl>
  </w:abstractNum>
  <w:abstractNum w:abstractNumId="5">
    <w:nsid w:val="77308165"/>
    <w:multiLevelType w:val="singleLevel"/>
    <w:tmpl w:val="77308165"/>
    <w:lvl w:ilvl="0" w:tentative="0">
      <w:start w:val="1"/>
      <w:numFmt w:val="chineseCounting"/>
      <w:suff w:val="nothing"/>
      <w:lvlText w:val="%1、"/>
      <w:lvlJc w:val="left"/>
      <w:rPr>
        <w:rFonts w:hint="eastAsia"/>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0326A"/>
    <w:rsid w:val="021F556F"/>
    <w:rsid w:val="124D28BF"/>
    <w:rsid w:val="1D5018B5"/>
    <w:rsid w:val="20BC17F7"/>
    <w:rsid w:val="213A5849"/>
    <w:rsid w:val="2F796D2B"/>
    <w:rsid w:val="41C03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FollowedHyperlink"/>
    <w:basedOn w:val="13"/>
    <w:qFormat/>
    <w:uiPriority w:val="0"/>
    <w:rPr>
      <w:color w:val="444444"/>
      <w:u w:val="none"/>
    </w:rPr>
  </w:style>
  <w:style w:type="character" w:styleId="15">
    <w:name w:val="Hyperlink"/>
    <w:basedOn w:val="13"/>
    <w:qFormat/>
    <w:uiPriority w:val="0"/>
    <w:rPr>
      <w:color w:val="44444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2020-05-25T16:12:00Z</dcterms:created>
  <dc:creator>华硕</dc:creator>
  <cp:lastModifiedBy>华硕</cp:lastModifiedBy>
  <dcterms:modified xsi:type="dcterms:W3CDTF">2020-06-18T14:23:30Z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