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华文中宋" w:eastAsia="方正小标宋简体" w:cs="Times New Roman"/>
          <w:b/>
          <w:bCs/>
          <w:sz w:val="48"/>
          <w:szCs w:val="48"/>
          <w:lang w:val="en-US" w:eastAsia="zh-CN"/>
        </w:rPr>
      </w:pPr>
      <w:r>
        <w:rPr>
          <w:rFonts w:hint="eastAsia" w:ascii="方正小标宋简体" w:hAnsi="华文中宋" w:eastAsia="方正小标宋简体" w:cs="Times New Roman"/>
          <w:b/>
          <w:bCs/>
          <w:sz w:val="48"/>
          <w:szCs w:val="48"/>
          <w:lang w:val="en-US" w:eastAsia="zh-CN"/>
        </w:rPr>
        <w:t>财政项目支出绩效评价报告</w:t>
      </w:r>
    </w:p>
    <w:p>
      <w:pPr>
        <w:pStyle w:val="3"/>
        <w:jc w:val="center"/>
        <w:rPr>
          <w:rFonts w:hint="eastAsia" w:ascii="仿宋" w:hAnsi="仿宋" w:eastAsia="仿宋" w:cs="仿宋"/>
          <w:b/>
          <w:bCs w:val="0"/>
          <w:sz w:val="28"/>
          <w:szCs w:val="40"/>
        </w:rPr>
      </w:pPr>
      <w:bookmarkStart w:id="0" w:name="_Toc32641"/>
      <w:bookmarkStart w:id="1" w:name="_Toc20212"/>
      <w:r>
        <w:rPr>
          <w:rFonts w:hint="eastAsia" w:ascii="仿宋" w:hAnsi="仿宋" w:eastAsia="仿宋" w:cs="仿宋"/>
          <w:b/>
          <w:bCs w:val="0"/>
          <w:sz w:val="28"/>
          <w:szCs w:val="40"/>
        </w:rPr>
        <w:t>(南昌市体育局)</w:t>
      </w:r>
      <w:bookmarkEnd w:id="0"/>
      <w:bookmarkEnd w:id="1"/>
    </w:p>
    <w:p>
      <w:pPr>
        <w:rPr>
          <w:rFonts w:hint="eastAsia" w:ascii="黑体" w:hAnsi="宋体" w:eastAsia="黑体" w:cs="Arial"/>
          <w:bCs/>
          <w:sz w:val="32"/>
          <w:szCs w:val="32"/>
        </w:rPr>
      </w:pPr>
    </w:p>
    <w:p>
      <w:pPr>
        <w:spacing w:line="600" w:lineRule="exact"/>
        <w:jc w:val="left"/>
        <w:rPr>
          <w:rFonts w:hint="default" w:ascii="黑体" w:hAnsi="黑体" w:eastAsia="仿宋" w:cs="黑体"/>
          <w:bCs/>
          <w:sz w:val="32"/>
          <w:szCs w:val="32"/>
          <w:u w:val="single"/>
          <w:lang w:val="en-US" w:eastAsia="zh-CN"/>
        </w:rPr>
      </w:pPr>
      <w:r>
        <w:rPr>
          <w:rFonts w:hint="eastAsia" w:ascii="黑体" w:hAnsi="宋体" w:eastAsia="黑体" w:cs="Arial"/>
          <w:bCs/>
          <w:sz w:val="32"/>
          <w:szCs w:val="32"/>
        </w:rPr>
        <w:t>项目名称：</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仿宋" w:hAnsi="仿宋" w:eastAsia="仿宋" w:cs="仿宋"/>
          <w:b/>
          <w:bCs w:val="0"/>
          <w:sz w:val="30"/>
          <w:szCs w:val="30"/>
          <w:u w:val="single"/>
        </w:rPr>
        <w:t>南昌市体育</w:t>
      </w:r>
      <w:r>
        <w:rPr>
          <w:rFonts w:hint="eastAsia" w:ascii="仿宋" w:hAnsi="仿宋" w:eastAsia="仿宋" w:cs="仿宋"/>
          <w:b/>
          <w:bCs w:val="0"/>
          <w:sz w:val="30"/>
          <w:szCs w:val="30"/>
          <w:u w:val="single"/>
          <w:lang w:val="en-US" w:eastAsia="zh-CN"/>
        </w:rPr>
        <w:t>中心场地维护费</w:t>
      </w:r>
      <w:r>
        <w:rPr>
          <w:rFonts w:hint="eastAsia" w:ascii="仿宋" w:hAnsi="仿宋" w:eastAsia="仿宋" w:cs="仿宋"/>
          <w:b/>
          <w:bCs w:val="0"/>
          <w:sz w:val="30"/>
          <w:szCs w:val="30"/>
          <w:u w:val="single"/>
        </w:rPr>
        <w:t>专项资金</w:t>
      </w:r>
      <w:r>
        <w:rPr>
          <w:rFonts w:hint="eastAsia" w:ascii="仿宋" w:hAnsi="仿宋" w:eastAsia="仿宋" w:cs="仿宋"/>
          <w:b/>
          <w:bCs w:val="0"/>
          <w:sz w:val="30"/>
          <w:szCs w:val="30"/>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eastAsia" w:ascii="黑体" w:hAnsi="宋体" w:eastAsia="黑体" w:cs="Arial"/>
          <w:bCs/>
          <w:sz w:val="32"/>
          <w:szCs w:val="32"/>
        </w:rPr>
      </w:pPr>
      <w:r>
        <w:rPr>
          <w:rFonts w:hint="eastAsia" w:ascii="黑体" w:hAnsi="宋体" w:eastAsia="黑体" w:cs="Arial"/>
          <w:bCs/>
          <w:sz w:val="32"/>
          <w:szCs w:val="32"/>
        </w:rPr>
        <w:t>项目类别：</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 xml:space="preserve"> 社会事业类</w:t>
      </w:r>
      <w:r>
        <w:rPr>
          <w:rFonts w:hint="eastAsia" w:ascii="仿宋" w:hAnsi="仿宋" w:eastAsia="仿宋" w:cs="仿宋"/>
          <w:b/>
          <w:bCs w:val="0"/>
          <w:sz w:val="30"/>
          <w:szCs w:val="30"/>
          <w:u w:val="single"/>
        </w:rPr>
        <w:t xml:space="preserve"> </w:t>
      </w:r>
      <w:r>
        <w:rPr>
          <w:rFonts w:hint="eastAsia" w:ascii="黑体" w:hAnsi="黑体" w:eastAsia="黑体" w:cs="黑体"/>
          <w:bCs/>
          <w:sz w:val="32"/>
          <w:szCs w:val="32"/>
          <w:u w:val="single"/>
        </w:rPr>
        <w:t xml:space="preserve">                            </w:t>
      </w:r>
    </w:p>
    <w:p>
      <w:pPr>
        <w:spacing w:line="600" w:lineRule="exact"/>
        <w:rPr>
          <w:rFonts w:hint="eastAsia" w:ascii="黑体" w:hAnsi="宋体" w:eastAsia="黑体" w:cs="Arial"/>
          <w:bCs/>
          <w:sz w:val="32"/>
          <w:szCs w:val="32"/>
        </w:rPr>
      </w:pPr>
    </w:p>
    <w:p>
      <w:pPr>
        <w:spacing w:line="600" w:lineRule="exact"/>
        <w:jc w:val="left"/>
        <w:rPr>
          <w:rFonts w:hint="default" w:ascii="黑体" w:hAnsi="宋体" w:eastAsia="黑体" w:cs="Arial"/>
          <w:bCs/>
          <w:sz w:val="32"/>
          <w:szCs w:val="32"/>
          <w:lang w:val="en-US"/>
        </w:rPr>
      </w:pPr>
      <w:r>
        <w:rPr>
          <w:rFonts w:hint="eastAsia" w:ascii="黑体" w:hAnsi="宋体" w:eastAsia="黑体" w:cs="Arial"/>
          <w:bCs/>
          <w:sz w:val="32"/>
          <w:szCs w:val="32"/>
        </w:rPr>
        <w:t>实施单位：</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 xml:space="preserve"> 南昌市体育中心   </w:t>
      </w:r>
      <w:r>
        <w:rPr>
          <w:rFonts w:hint="eastAsia" w:ascii="黑体" w:hAnsi="黑体" w:eastAsia="黑体" w:cs="黑体"/>
          <w:bCs/>
          <w:sz w:val="32"/>
          <w:szCs w:val="32"/>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default" w:ascii="黑体" w:hAnsi="宋体" w:eastAsia="黑体" w:cs="Arial"/>
          <w:bCs/>
          <w:sz w:val="32"/>
          <w:szCs w:val="32"/>
          <w:lang w:val="en-US" w:eastAsia="zh-CN"/>
        </w:rPr>
      </w:pPr>
      <w:r>
        <w:rPr>
          <w:rFonts w:hint="eastAsia" w:ascii="黑体" w:hAnsi="宋体" w:eastAsia="黑体" w:cs="Arial"/>
          <w:bCs/>
          <w:sz w:val="32"/>
          <w:szCs w:val="32"/>
        </w:rPr>
        <w:t>主管部门：</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南昌市体育局</w:t>
      </w:r>
      <w:r>
        <w:rPr>
          <w:rFonts w:hint="eastAsia" w:ascii="仿宋" w:hAnsi="仿宋" w:eastAsia="仿宋" w:cs="仿宋"/>
          <w:b/>
          <w:bCs w:val="0"/>
          <w:sz w:val="30"/>
          <w:szCs w:val="30"/>
          <w:u w:val="single"/>
        </w:rPr>
        <w:t>（盖章</w:t>
      </w:r>
      <w:r>
        <w:rPr>
          <w:rFonts w:hint="eastAsia" w:ascii="仿宋" w:hAnsi="仿宋" w:eastAsia="仿宋" w:cs="仿宋"/>
          <w:b/>
          <w:bCs w:val="0"/>
          <w:sz w:val="30"/>
          <w:szCs w:val="30"/>
          <w:u w:val="single"/>
          <w:lang w:eastAsia="zh-CN"/>
        </w:rPr>
        <w:t>）</w:t>
      </w:r>
      <w:r>
        <w:rPr>
          <w:rFonts w:hint="eastAsia" w:ascii="仿宋" w:hAnsi="仿宋" w:eastAsia="仿宋" w:cs="仿宋"/>
          <w:b/>
          <w:bCs w:val="0"/>
          <w:sz w:val="30"/>
          <w:szCs w:val="30"/>
          <w:u w:val="single"/>
          <w:lang w:val="en-US" w:eastAsia="zh-CN"/>
        </w:rPr>
        <w:t xml:space="preserve">   </w:t>
      </w:r>
      <w:r>
        <w:rPr>
          <w:rFonts w:hint="eastAsia" w:ascii="黑体" w:hAnsi="黑体" w:eastAsia="黑体" w:cs="黑体"/>
          <w:bCs/>
          <w:sz w:val="32"/>
          <w:szCs w:val="32"/>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eastAsia" w:ascii="黑体" w:hAnsi="黑体" w:eastAsia="黑体" w:cs="黑体"/>
          <w:bCs/>
          <w:sz w:val="32"/>
          <w:szCs w:val="32"/>
          <w:u w:val="single"/>
          <w:lang w:val="en-US" w:eastAsia="zh-CN"/>
        </w:rPr>
      </w:pPr>
      <w:r>
        <w:rPr>
          <w:rFonts w:hint="eastAsia" w:ascii="黑体" w:hAnsi="宋体" w:eastAsia="黑体" w:cs="Arial"/>
          <w:bCs/>
          <w:sz w:val="32"/>
          <w:szCs w:val="32"/>
        </w:rPr>
        <w:t>评价机构：</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lang w:val="en-US" w:eastAsia="zh-CN"/>
        </w:rPr>
        <w:t>江西惠普会计师事务所有限责任公司（盖章</w:t>
      </w:r>
      <w:r>
        <w:rPr>
          <w:rFonts w:hint="eastAsia" w:ascii="黑体" w:hAnsi="黑体" w:eastAsia="黑体" w:cs="黑体"/>
          <w:bCs/>
          <w:sz w:val="32"/>
          <w:szCs w:val="32"/>
          <w:u w:val="single"/>
          <w:lang w:val="en-US" w:eastAsia="zh-CN"/>
        </w:rPr>
        <w:t>）</w:t>
      </w:r>
    </w:p>
    <w:p>
      <w:pPr>
        <w:spacing w:line="600" w:lineRule="exact"/>
        <w:rPr>
          <w:rFonts w:hint="default" w:ascii="黑体" w:hAnsi="黑体" w:eastAsia="黑体" w:cs="黑体"/>
          <w:bCs/>
          <w:sz w:val="32"/>
          <w:szCs w:val="32"/>
          <w:u w:val="single"/>
          <w:lang w:val="en-US" w:eastAsia="zh-CN"/>
        </w:rPr>
      </w:pPr>
    </w:p>
    <w:p>
      <w:pPr>
        <w:spacing w:line="600" w:lineRule="exact"/>
        <w:rPr>
          <w:rFonts w:hint="eastAsia" w:ascii="黑体" w:hAnsi="宋体" w:eastAsia="黑体" w:cs="Arial"/>
          <w:bCs/>
          <w:sz w:val="32"/>
          <w:szCs w:val="32"/>
        </w:rPr>
      </w:pPr>
      <w:r>
        <w:rPr>
          <w:rFonts w:hint="eastAsia" w:ascii="黑体" w:hAnsi="宋体" w:eastAsia="黑体" w:cs="Arial"/>
          <w:bCs/>
          <w:sz w:val="32"/>
          <w:szCs w:val="32"/>
        </w:rPr>
        <w:t>评价年度：</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lang w:val="en-US" w:eastAsia="zh-CN"/>
        </w:rPr>
        <w:t xml:space="preserve">      2019年度      </w:t>
      </w:r>
      <w:r>
        <w:rPr>
          <w:rFonts w:hint="eastAsia" w:ascii="黑体" w:hAnsi="黑体" w:eastAsia="黑体" w:cs="黑体"/>
          <w:bCs/>
          <w:sz w:val="32"/>
          <w:szCs w:val="32"/>
          <w:u w:val="single"/>
        </w:rPr>
        <w:t xml:space="preserve">                      </w:t>
      </w:r>
    </w:p>
    <w:p/>
    <w:p/>
    <w:p/>
    <w:p/>
    <w:p/>
    <w:p/>
    <w:p/>
    <w:p/>
    <w:p/>
    <w:p/>
    <w:p/>
    <w:p/>
    <w:p/>
    <w:p>
      <w:pPr>
        <w:spacing w:line="960" w:lineRule="exact"/>
        <w:jc w:val="center"/>
        <w:rPr>
          <w:rFonts w:hint="default"/>
          <w:lang w:val="en-US"/>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〇二〇</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五月</w:t>
      </w:r>
    </w:p>
    <w:p>
      <w:pPr>
        <w:pStyle w:val="2"/>
      </w:pPr>
    </w:p>
    <w:p>
      <w:pPr>
        <w:jc w:val="center"/>
        <w:rPr>
          <w:rFonts w:hint="eastAsia" w:ascii="方正小标宋简体" w:hAnsi="华文中宋" w:eastAsia="方正小标宋简体" w:cs="Times New Roman"/>
          <w:b/>
          <w:bCs/>
          <w:sz w:val="36"/>
          <w:szCs w:val="36"/>
          <w:lang w:val="en-US" w:eastAsia="zh-CN"/>
        </w:rPr>
      </w:pPr>
      <w:r>
        <w:rPr>
          <w:rFonts w:hint="eastAsia" w:ascii="方正小标宋简体" w:hAnsi="华文中宋" w:eastAsia="方正小标宋简体" w:cs="Times New Roman"/>
          <w:b/>
          <w:bCs/>
          <w:sz w:val="36"/>
          <w:szCs w:val="36"/>
          <w:lang w:val="en-US" w:eastAsia="zh-CN"/>
        </w:rPr>
        <w:t>报告摘要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i w:val="0"/>
          <w:caps w:val="0"/>
          <w:color w:val="000000"/>
          <w:spacing w:val="0"/>
          <w:sz w:val="21"/>
          <w:szCs w:val="21"/>
          <w:shd w:val="clear" w:fill="FDFDFD"/>
          <w:lang w:val="en-US" w:eastAsia="zh-CN"/>
        </w:rPr>
      </w:pPr>
      <w:r>
        <w:rPr>
          <w:rFonts w:hint="eastAsia" w:ascii="宋体" w:hAnsi="宋体" w:eastAsia="宋体" w:cs="宋体"/>
          <w:i w:val="0"/>
          <w:caps w:val="0"/>
          <w:color w:val="000000"/>
          <w:spacing w:val="0"/>
          <w:sz w:val="21"/>
          <w:szCs w:val="21"/>
          <w:shd w:val="clear" w:fill="FDFDFD"/>
        </w:rPr>
        <w:t> </w:t>
      </w:r>
      <w:r>
        <w:rPr>
          <w:rFonts w:hint="eastAsia" w:ascii="宋体" w:hAnsi="宋体" w:eastAsia="宋体" w:cs="宋体"/>
          <w:i w:val="0"/>
          <w:caps w:val="0"/>
          <w:color w:val="000000"/>
          <w:spacing w:val="0"/>
          <w:sz w:val="21"/>
          <w:szCs w:val="21"/>
          <w:shd w:val="clear" w:fill="FDFDFD"/>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财政支出绩效评价是财政科学管理的重要手段，对提高财政资金的规范高效运作程度、增加财政资金的使用效果、促进政府财力的可持续发展以及有效转变政府职能等都具有重大意义。</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default" w:ascii="仿宋_GB2312" w:hAnsi="仿宋" w:eastAsia="仿宋_GB2312" w:cs="Times New Roman"/>
          <w:kern w:val="0"/>
          <w:sz w:val="32"/>
          <w:szCs w:val="32"/>
          <w:lang w:val="en-US" w:eastAsia="zh-CN" w:bidi="ar-SA"/>
        </w:rPr>
      </w:pPr>
      <w:r>
        <w:rPr>
          <w:rFonts w:hint="eastAsia" w:ascii="仿宋_GB2312" w:hAnsi="宋体" w:eastAsia="仿宋_GB2312" w:cs="仿宋_GB2312"/>
          <w:sz w:val="32"/>
          <w:szCs w:val="32"/>
          <w:lang w:val="en-US" w:eastAsia="zh-CN"/>
        </w:rPr>
        <w:t>为了更科学地评价2019年度南昌市体育中心场地维护费专项资金的绩效成果，提高财政资金安排的科学性，持续高效地开展南昌市体育中心场馆使用工作，南昌市体育局响应《中共中央 国务院关于全面实施预算绩效管理的意见》（中发[2018]34号）、《财政部关于印发项目支出绩效评价管理办法的通知》（财预〔2020〕10号）、《江西省财政厅关于开展2020年预算绩效管理有关工作的通知》（赣财绩〔2020〕4号）、《中共南昌市委、南昌市人民政府关于全面实施预算绩效管理的意见》（洪发〔2019〕13号）及《南昌市财政局关于开展2019年度市级部门财政项目支出绩效评价工作的通知》（洪财办〔2020〕10号）文件精神，委托江西惠普会计师事务所有限责任公司（以下简称“惠普会计师事务所”）作为第三方评估机构，指导和参与2019年度南昌市体育中心场地维护费专项资金支出的财政绩效评价工作。</w:t>
      </w:r>
    </w:p>
    <w:p/>
    <w:p/>
    <w:p>
      <w:pPr>
        <w:pStyle w:val="2"/>
      </w:pPr>
    </w:p>
    <w:p>
      <w:pPr>
        <w:pStyle w:val="2"/>
      </w:pPr>
    </w:p>
    <w:p>
      <w:pPr>
        <w:pStyle w:val="2"/>
      </w:pPr>
    </w:p>
    <w:p>
      <w:pPr>
        <w:pStyle w:val="2"/>
      </w:pPr>
    </w:p>
    <w:p>
      <w:pPr>
        <w:pStyle w:val="2"/>
      </w:pPr>
    </w:p>
    <w:p>
      <w:pPr>
        <w:pStyle w:val="2"/>
      </w:pPr>
    </w:p>
    <w:p>
      <w:pPr>
        <w:pStyle w:val="2"/>
      </w:pPr>
    </w:p>
    <w:p>
      <w:pPr>
        <w:jc w:val="center"/>
        <w:rPr>
          <w:rFonts w:hint="eastAsia" w:ascii="方正小标宋简体" w:hAnsi="华文中宋" w:eastAsia="方正小标宋简体" w:cs="Times New Roman"/>
          <w:b/>
          <w:bCs/>
          <w:sz w:val="36"/>
          <w:szCs w:val="36"/>
          <w:lang w:val="en-US" w:eastAsia="zh-CN"/>
        </w:rPr>
      </w:pPr>
      <w:r>
        <w:rPr>
          <w:rFonts w:hint="eastAsia" w:ascii="方正小标宋简体" w:hAnsi="华文中宋" w:eastAsia="方正小标宋简体" w:cs="Times New Roman"/>
          <w:b/>
          <w:bCs/>
          <w:sz w:val="36"/>
          <w:szCs w:val="36"/>
          <w:lang w:val="en-US" w:eastAsia="zh-CN"/>
        </w:rPr>
        <w:t>目   录</w:t>
      </w:r>
    </w:p>
    <w:p>
      <w:pPr>
        <w:jc w:val="both"/>
        <w:rPr>
          <w:rFonts w:hint="eastAsia" w:ascii="方正小标宋简体" w:hAnsi="华文中宋" w:eastAsia="方正小标宋简体" w:cs="Times New Roman"/>
          <w:b/>
          <w:bCs/>
          <w:sz w:val="36"/>
          <w:szCs w:val="36"/>
          <w:lang w:val="en-US" w:eastAsia="zh-CN"/>
        </w:rPr>
      </w:pP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方正小标宋简体" w:hAnsi="华文中宋" w:eastAsia="方正小标宋简体" w:cs="Times New Roman"/>
          <w:b/>
          <w:bCs/>
          <w:sz w:val="36"/>
          <w:szCs w:val="36"/>
          <w:lang w:val="en-US" w:eastAsia="zh-CN"/>
        </w:rPr>
        <w:fldChar w:fldCharType="begin"/>
      </w:r>
      <w:r>
        <w:rPr>
          <w:rFonts w:hint="eastAsia" w:ascii="方正小标宋简体" w:hAnsi="华文中宋" w:eastAsia="方正小标宋简体" w:cs="Times New Roman"/>
          <w:b/>
          <w:bCs/>
          <w:sz w:val="36"/>
          <w:szCs w:val="36"/>
          <w:lang w:val="en-US" w:eastAsia="zh-CN"/>
        </w:rPr>
        <w:instrText xml:space="preserve">TOC \o "1-3" \h \u </w:instrText>
      </w:r>
      <w:r>
        <w:rPr>
          <w:rFonts w:hint="eastAsia" w:ascii="方正小标宋简体" w:hAnsi="华文中宋" w:eastAsia="方正小标宋简体" w:cs="Times New Roman"/>
          <w:b/>
          <w:bCs/>
          <w:sz w:val="36"/>
          <w:szCs w:val="36"/>
          <w:lang w:val="en-US" w:eastAsia="zh-CN"/>
        </w:rPr>
        <w:fldChar w:fldCharType="separate"/>
      </w: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_Toc20354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一、 项目基本情况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_Toc20354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_Toc27502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（一) 项目概况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_Toc27502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_Toc8481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1、 立项背景</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_Toc8481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_Toc1237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3、项目内容、执行标准和实施期限</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_Toc1237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_Toc10179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4、资金投入和使用情况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_Toc10179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_Toc32648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（二） 项目绩效目标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_Toc32648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_Toc30331 </w:instrText>
      </w:r>
      <w:r>
        <w:rPr>
          <w:rFonts w:hint="eastAsia" w:ascii="黑体" w:hAnsi="黑体" w:eastAsia="黑体" w:cs="黑体"/>
          <w:bCs/>
          <w:sz w:val="24"/>
          <w:szCs w:val="24"/>
          <w:lang w:val="en-US" w:eastAsia="zh-CN"/>
        </w:rPr>
        <w:fldChar w:fldCharType="separate"/>
      </w:r>
      <w:r>
        <w:rPr>
          <w:rFonts w:hint="eastAsia" w:ascii="黑体" w:hAnsi="黑体" w:eastAsia="黑体" w:cs="黑体"/>
          <w:sz w:val="24"/>
          <w:szCs w:val="24"/>
        </w:rPr>
        <w:t>二、绩效评价工作</w:t>
      </w:r>
      <w:r>
        <w:rPr>
          <w:rFonts w:hint="eastAsia" w:ascii="黑体" w:hAnsi="黑体" w:eastAsia="黑体" w:cs="黑体"/>
          <w:sz w:val="24"/>
          <w:szCs w:val="24"/>
          <w:lang w:eastAsia="zh-CN"/>
        </w:rPr>
        <w:t>开展</w:t>
      </w:r>
      <w:r>
        <w:rPr>
          <w:rFonts w:hint="eastAsia" w:ascii="黑体" w:hAnsi="黑体" w:eastAsia="黑体" w:cs="黑体"/>
          <w:sz w:val="24"/>
          <w:szCs w:val="24"/>
        </w:rPr>
        <w:t>情况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_Toc30331 </w:instrText>
      </w:r>
      <w:r>
        <w:rPr>
          <w:rFonts w:hint="eastAsia" w:ascii="黑体" w:hAnsi="黑体" w:eastAsia="黑体" w:cs="黑体"/>
          <w:sz w:val="24"/>
          <w:szCs w:val="24"/>
        </w:rPr>
        <w:fldChar w:fldCharType="separate"/>
      </w:r>
      <w:r>
        <w:rPr>
          <w:rFonts w:hint="eastAsia" w:ascii="黑体" w:hAnsi="黑体" w:eastAsia="黑体" w:cs="黑体"/>
          <w:sz w:val="24"/>
          <w:szCs w:val="24"/>
        </w:rPr>
        <w:t>3</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_Toc5900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（一）绩效评价目的</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_Toc5900 </w:instrText>
      </w:r>
      <w:r>
        <w:rPr>
          <w:rFonts w:hint="eastAsia" w:ascii="黑体" w:hAnsi="黑体" w:eastAsia="黑体" w:cs="黑体"/>
          <w:sz w:val="24"/>
          <w:szCs w:val="24"/>
        </w:rPr>
        <w:fldChar w:fldCharType="separate"/>
      </w:r>
      <w:r>
        <w:rPr>
          <w:rFonts w:hint="eastAsia" w:ascii="黑体" w:hAnsi="黑体" w:eastAsia="黑体" w:cs="黑体"/>
          <w:sz w:val="24"/>
          <w:szCs w:val="24"/>
        </w:rPr>
        <w:t>3</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_Toc25741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（二）绩效评价原则和依据、评价指标体系、评价方法</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_Toc25741 </w:instrText>
      </w:r>
      <w:r>
        <w:rPr>
          <w:rFonts w:hint="eastAsia" w:ascii="黑体" w:hAnsi="黑体" w:eastAsia="黑体" w:cs="黑体"/>
          <w:sz w:val="24"/>
          <w:szCs w:val="24"/>
        </w:rPr>
        <w:fldChar w:fldCharType="separate"/>
      </w:r>
      <w:r>
        <w:rPr>
          <w:rFonts w:hint="eastAsia" w:ascii="黑体" w:hAnsi="黑体" w:eastAsia="黑体" w:cs="黑体"/>
          <w:sz w:val="24"/>
          <w:szCs w:val="24"/>
        </w:rPr>
        <w:t>3</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_Toc28699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val="0"/>
          <w:sz w:val="24"/>
          <w:szCs w:val="24"/>
          <w:lang w:val="en-US" w:eastAsia="zh-CN"/>
        </w:rPr>
        <w:t>1、绩效评价原则</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_Toc28699 </w:instrText>
      </w:r>
      <w:r>
        <w:rPr>
          <w:rFonts w:hint="eastAsia" w:ascii="黑体" w:hAnsi="黑体" w:eastAsia="黑体" w:cs="黑体"/>
          <w:sz w:val="24"/>
          <w:szCs w:val="24"/>
        </w:rPr>
        <w:fldChar w:fldCharType="separate"/>
      </w:r>
      <w:r>
        <w:rPr>
          <w:rFonts w:hint="eastAsia" w:ascii="黑体" w:hAnsi="黑体" w:eastAsia="黑体" w:cs="黑体"/>
          <w:sz w:val="24"/>
          <w:szCs w:val="24"/>
        </w:rPr>
        <w:t>3</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_Toc11309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2、绩效评价指标体系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_Toc11309 </w:instrText>
      </w:r>
      <w:r>
        <w:rPr>
          <w:rFonts w:hint="eastAsia" w:ascii="黑体" w:hAnsi="黑体" w:eastAsia="黑体" w:cs="黑体"/>
          <w:sz w:val="24"/>
          <w:szCs w:val="24"/>
        </w:rPr>
        <w:fldChar w:fldCharType="separate"/>
      </w:r>
      <w:r>
        <w:rPr>
          <w:rFonts w:hint="eastAsia" w:ascii="黑体" w:hAnsi="黑体" w:eastAsia="黑体" w:cs="黑体"/>
          <w:sz w:val="24"/>
          <w:szCs w:val="24"/>
        </w:rPr>
        <w:t>3</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_Toc27385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3、绩效评价方法</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_Toc27385 </w:instrText>
      </w:r>
      <w:r>
        <w:rPr>
          <w:rFonts w:hint="eastAsia" w:ascii="黑体" w:hAnsi="黑体" w:eastAsia="黑体" w:cs="黑体"/>
          <w:sz w:val="24"/>
          <w:szCs w:val="24"/>
        </w:rPr>
        <w:fldChar w:fldCharType="separate"/>
      </w:r>
      <w:r>
        <w:rPr>
          <w:rFonts w:hint="eastAsia" w:ascii="黑体" w:hAnsi="黑体" w:eastAsia="黑体" w:cs="黑体"/>
          <w:sz w:val="24"/>
          <w:szCs w:val="24"/>
        </w:rPr>
        <w:t>4</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_Toc26622 </w:instrText>
      </w:r>
      <w:r>
        <w:rPr>
          <w:rFonts w:hint="eastAsia" w:ascii="黑体" w:hAnsi="黑体" w:eastAsia="黑体" w:cs="黑体"/>
          <w:bCs/>
          <w:sz w:val="24"/>
          <w:szCs w:val="24"/>
          <w:lang w:val="en-US" w:eastAsia="zh-CN"/>
        </w:rPr>
        <w:fldChar w:fldCharType="separate"/>
      </w:r>
      <w:r>
        <w:rPr>
          <w:rFonts w:hint="eastAsia" w:ascii="黑体" w:hAnsi="黑体" w:eastAsia="黑体" w:cs="黑体"/>
          <w:sz w:val="24"/>
          <w:szCs w:val="24"/>
          <w:lang w:val="en-US" w:eastAsia="zh-CN"/>
        </w:rPr>
        <w:t>（三）绩效评价工作过程</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_Toc26622 </w:instrText>
      </w:r>
      <w:r>
        <w:rPr>
          <w:rFonts w:hint="eastAsia" w:ascii="黑体" w:hAnsi="黑体" w:eastAsia="黑体" w:cs="黑体"/>
          <w:sz w:val="24"/>
          <w:szCs w:val="24"/>
        </w:rPr>
        <w:fldChar w:fldCharType="separate"/>
      </w:r>
      <w:r>
        <w:rPr>
          <w:rFonts w:hint="eastAsia" w:ascii="黑体" w:hAnsi="黑体" w:eastAsia="黑体" w:cs="黑体"/>
          <w:sz w:val="24"/>
          <w:szCs w:val="24"/>
        </w:rPr>
        <w:t>4</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_Toc19809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三、综合评价结果及评价结论</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_Toc19809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_Toc11733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（一)评价结果</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_Toc11733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_Toc10446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（二）评价结论</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_Toc10446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_Toc14416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四、绩效评价指标分析情况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_Toc14416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_Toc18487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（一） 资金投入情况分析</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_Toc18487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_Toc24110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（二） 产出指标完成情况分析</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_Toc24110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_Toc2161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val="0"/>
          <w:sz w:val="24"/>
          <w:szCs w:val="24"/>
          <w:lang w:val="en-US" w:eastAsia="zh-CN"/>
        </w:rPr>
        <w:t>1、数量指标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_Toc2161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_Toc19874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2、质量指标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_Toc19874 </w:instrText>
      </w:r>
      <w:r>
        <w:rPr>
          <w:rFonts w:hint="eastAsia" w:ascii="黑体" w:hAnsi="黑体" w:eastAsia="黑体" w:cs="黑体"/>
          <w:sz w:val="24"/>
          <w:szCs w:val="24"/>
        </w:rPr>
        <w:fldChar w:fldCharType="separate"/>
      </w:r>
      <w:r>
        <w:rPr>
          <w:rFonts w:hint="eastAsia" w:ascii="黑体" w:hAnsi="黑体" w:eastAsia="黑体" w:cs="黑体"/>
          <w:sz w:val="24"/>
          <w:szCs w:val="24"/>
        </w:rPr>
        <w:t>7</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_Toc22737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3、 时效指标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_Toc22737 </w:instrText>
      </w:r>
      <w:r>
        <w:rPr>
          <w:rFonts w:hint="eastAsia" w:ascii="黑体" w:hAnsi="黑体" w:eastAsia="黑体" w:cs="黑体"/>
          <w:sz w:val="24"/>
          <w:szCs w:val="24"/>
        </w:rPr>
        <w:fldChar w:fldCharType="separate"/>
      </w:r>
      <w:r>
        <w:rPr>
          <w:rFonts w:hint="eastAsia" w:ascii="黑体" w:hAnsi="黑体" w:eastAsia="黑体" w:cs="黑体"/>
          <w:sz w:val="24"/>
          <w:szCs w:val="24"/>
        </w:rPr>
        <w:t>7</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_Toc29421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4、成本指标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_Toc29421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_Toc19919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（三） 效益指标完成情况分析</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_Toc19919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_Toc27899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val="0"/>
          <w:sz w:val="24"/>
          <w:szCs w:val="24"/>
          <w:lang w:val="en-US" w:eastAsia="zh-CN"/>
        </w:rPr>
        <w:t>1、经济效益指标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_Toc27899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_Toc15789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2、社会效益指标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_Toc15789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_Toc18408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3、生态效益指标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_Toc18408 </w:instrText>
      </w:r>
      <w:r>
        <w:rPr>
          <w:rFonts w:hint="eastAsia" w:ascii="黑体" w:hAnsi="黑体" w:eastAsia="黑体" w:cs="黑体"/>
          <w:sz w:val="24"/>
          <w:szCs w:val="24"/>
        </w:rPr>
        <w:fldChar w:fldCharType="separate"/>
      </w:r>
      <w:r>
        <w:rPr>
          <w:rFonts w:hint="eastAsia" w:ascii="黑体" w:hAnsi="黑体" w:eastAsia="黑体" w:cs="黑体"/>
          <w:sz w:val="24"/>
          <w:szCs w:val="24"/>
        </w:rPr>
        <w:t>9</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_Toc24435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4、 可持续影响指标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_Toc24435 </w:instrText>
      </w:r>
      <w:r>
        <w:rPr>
          <w:rFonts w:hint="eastAsia" w:ascii="黑体" w:hAnsi="黑体" w:eastAsia="黑体" w:cs="黑体"/>
          <w:sz w:val="24"/>
          <w:szCs w:val="24"/>
        </w:rPr>
        <w:fldChar w:fldCharType="separate"/>
      </w:r>
      <w:r>
        <w:rPr>
          <w:rFonts w:hint="eastAsia" w:ascii="黑体" w:hAnsi="黑体" w:eastAsia="黑体" w:cs="黑体"/>
          <w:sz w:val="24"/>
          <w:szCs w:val="24"/>
        </w:rPr>
        <w:t>9</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_Toc13452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（四） 满意度指标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_Toc13452 </w:instrText>
      </w:r>
      <w:r>
        <w:rPr>
          <w:rFonts w:hint="eastAsia" w:ascii="黑体" w:hAnsi="黑体" w:eastAsia="黑体" w:cs="黑体"/>
          <w:sz w:val="24"/>
          <w:szCs w:val="24"/>
        </w:rPr>
        <w:fldChar w:fldCharType="separate"/>
      </w:r>
      <w:r>
        <w:rPr>
          <w:rFonts w:hint="eastAsia" w:ascii="黑体" w:hAnsi="黑体" w:eastAsia="黑体" w:cs="黑体"/>
          <w:sz w:val="24"/>
          <w:szCs w:val="24"/>
        </w:rPr>
        <w:t>9</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pPr>
      <w:r>
        <w:rPr>
          <w:rFonts w:hint="eastAsia" w:ascii="黑体" w:hAnsi="黑体" w:eastAsia="黑体" w:cs="黑体"/>
          <w:bCs/>
          <w:sz w:val="24"/>
          <w:szCs w:val="24"/>
          <w:lang w:val="en-US" w:eastAsia="zh-CN"/>
        </w:rPr>
        <w:fldChar w:fldCharType="begin"/>
      </w:r>
      <w:r>
        <w:rPr>
          <w:rFonts w:hint="eastAsia" w:ascii="黑体" w:hAnsi="黑体" w:eastAsia="黑体" w:cs="黑体"/>
          <w:bCs/>
          <w:sz w:val="24"/>
          <w:szCs w:val="24"/>
          <w:lang w:val="en-US" w:eastAsia="zh-CN"/>
        </w:rPr>
        <w:instrText xml:space="preserve"> HYPERLINK \l _Toc26309 </w:instrText>
      </w:r>
      <w:r>
        <w:rPr>
          <w:rFonts w:hint="eastAsia" w:ascii="黑体" w:hAnsi="黑体" w:eastAsia="黑体" w:cs="黑体"/>
          <w:bCs/>
          <w:sz w:val="24"/>
          <w:szCs w:val="24"/>
          <w:lang w:val="en-US" w:eastAsia="zh-CN"/>
        </w:rPr>
        <w:fldChar w:fldCharType="separate"/>
      </w:r>
      <w:r>
        <w:rPr>
          <w:rFonts w:hint="eastAsia" w:ascii="黑体" w:hAnsi="黑体" w:eastAsia="黑体" w:cs="黑体"/>
          <w:bCs/>
          <w:sz w:val="24"/>
          <w:szCs w:val="24"/>
          <w:lang w:val="en-US" w:eastAsia="zh-CN"/>
        </w:rPr>
        <w:t>五、绩效评价结果应用建议</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_Toc26309 </w:instrText>
      </w:r>
      <w:r>
        <w:rPr>
          <w:rFonts w:hint="eastAsia" w:ascii="黑体" w:hAnsi="黑体" w:eastAsia="黑体" w:cs="黑体"/>
          <w:sz w:val="24"/>
          <w:szCs w:val="24"/>
        </w:rPr>
        <w:fldChar w:fldCharType="separate"/>
      </w:r>
      <w:r>
        <w:rPr>
          <w:rFonts w:hint="eastAsia" w:ascii="黑体" w:hAnsi="黑体" w:eastAsia="黑体" w:cs="黑体"/>
          <w:sz w:val="24"/>
          <w:szCs w:val="24"/>
        </w:rPr>
        <w:t>9</w:t>
      </w:r>
      <w:r>
        <w:rPr>
          <w:rFonts w:hint="eastAsia" w:ascii="黑体" w:hAnsi="黑体" w:eastAsia="黑体" w:cs="黑体"/>
          <w:sz w:val="24"/>
          <w:szCs w:val="24"/>
        </w:rPr>
        <w:fldChar w:fldCharType="end"/>
      </w:r>
      <w:r>
        <w:rPr>
          <w:rFonts w:hint="eastAsia" w:ascii="黑体" w:hAnsi="黑体" w:eastAsia="黑体" w:cs="黑体"/>
          <w:bCs/>
          <w:sz w:val="24"/>
          <w:szCs w:val="24"/>
          <w:lang w:val="en-US" w:eastAsia="zh-CN"/>
        </w:rPr>
        <w:fldChar w:fldCharType="end"/>
      </w:r>
    </w:p>
    <w:p>
      <w:pPr>
        <w:jc w:val="center"/>
        <w:rPr>
          <w:rFonts w:hint="eastAsia" w:ascii="黑体" w:hAnsi="黑体" w:eastAsia="黑体" w:cs="黑体"/>
          <w:b w:val="0"/>
          <w:bCs/>
          <w:lang w:val="en-US" w:eastAsia="zh-CN"/>
        </w:rPr>
        <w:sectPr>
          <w:pgSz w:w="11906" w:h="16838"/>
          <w:pgMar w:top="1440" w:right="1800" w:bottom="1440" w:left="1800" w:header="851" w:footer="992" w:gutter="0"/>
          <w:cols w:space="425" w:num="1"/>
          <w:docGrid w:type="lines" w:linePitch="312" w:charSpace="0"/>
        </w:sectPr>
      </w:pPr>
      <w:r>
        <w:rPr>
          <w:rFonts w:hint="eastAsia" w:ascii="方正小标宋简体" w:hAnsi="华文中宋" w:eastAsia="方正小标宋简体" w:cs="Times New Roman"/>
          <w:bCs/>
          <w:szCs w:val="36"/>
          <w:lang w:val="en-US" w:eastAsia="zh-CN"/>
        </w:rPr>
        <w:fldChar w:fldCharType="end"/>
      </w:r>
      <w:bookmarkStart w:id="2" w:name="_Toc24115"/>
    </w:p>
    <w:p>
      <w:pPr>
        <w:pStyle w:val="3"/>
        <w:keepNext/>
        <w:keepLines/>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黑体" w:hAnsi="黑体" w:eastAsia="黑体" w:cs="黑体"/>
          <w:b w:val="0"/>
          <w:bCs/>
          <w:lang w:val="en-US" w:eastAsia="zh-CN"/>
        </w:rPr>
      </w:pPr>
      <w:bookmarkStart w:id="3" w:name="_Toc20354"/>
      <w:r>
        <w:rPr>
          <w:rFonts w:hint="eastAsia" w:ascii="黑体" w:hAnsi="黑体" w:eastAsia="黑体" w:cs="黑体"/>
          <w:b w:val="0"/>
          <w:bCs/>
          <w:lang w:val="en-US" w:eastAsia="zh-CN"/>
        </w:rPr>
        <w:t>项目基本情况</w:t>
      </w:r>
      <w:bookmarkEnd w:id="2"/>
      <w:bookmarkEnd w:id="3"/>
    </w:p>
    <w:p>
      <w:pPr>
        <w:pStyle w:val="4"/>
        <w:keepNext/>
        <w:keepLines/>
        <w:pageBreakBefore w:val="0"/>
        <w:widowControl w:val="0"/>
        <w:numPr>
          <w:ilvl w:val="0"/>
          <w:numId w:val="2"/>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4" w:name="_Toc10554"/>
      <w:bookmarkStart w:id="5" w:name="_Toc27502"/>
      <w:r>
        <w:rPr>
          <w:rFonts w:hint="eastAsia" w:ascii="黑体" w:hAnsi="黑体" w:eastAsia="黑体" w:cs="黑体"/>
          <w:b w:val="0"/>
          <w:bCs/>
          <w:lang w:val="en-US" w:eastAsia="zh-CN"/>
        </w:rPr>
        <w:t>项目概况</w:t>
      </w:r>
      <w:bookmarkEnd w:id="4"/>
      <w:bookmarkEnd w:id="5"/>
    </w:p>
    <w:p>
      <w:pPr>
        <w:pStyle w:val="5"/>
        <w:keepNext/>
        <w:keepLines/>
        <w:pageBreakBefore w:val="0"/>
        <w:widowControl w:val="0"/>
        <w:numPr>
          <w:ilvl w:val="0"/>
          <w:numId w:val="3"/>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6" w:name="_Toc20799"/>
      <w:bookmarkStart w:id="7" w:name="_Toc8481"/>
      <w:r>
        <w:rPr>
          <w:rFonts w:hint="eastAsia" w:ascii="黑体" w:hAnsi="黑体" w:eastAsia="黑体" w:cs="黑体"/>
          <w:b w:val="0"/>
          <w:bCs/>
          <w:lang w:val="en-US" w:eastAsia="zh-CN"/>
        </w:rPr>
        <w:t>立项背景</w:t>
      </w:r>
      <w:bookmarkEnd w:id="6"/>
      <w:bookmarkEnd w:id="7"/>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为规范南昌市体育中心运营管理，充分发挥场馆的体育服务功能，更好地满足人民群众开展体育活动的需求，促进体育产业和体育事业协调发展，设立该项资金用于南昌市体育中心的场地维护，保障场馆正常运转，为公众开展体育活动提供服务。2019年度南昌市体育中心场地维护费项目的立项依据主要为：《南昌市体育局2019年部门预算批复表》。</w:t>
      </w:r>
    </w:p>
    <w:p>
      <w:pPr>
        <w:keepNext w:val="0"/>
        <w:keepLines w:val="0"/>
        <w:pageBreakBefore w:val="0"/>
        <w:widowControl w:val="0"/>
        <w:numPr>
          <w:ilvl w:val="0"/>
          <w:numId w:val="4"/>
        </w:numPr>
        <w:shd w:val="solid" w:color="FFFFFF" w:fill="auto"/>
        <w:kinsoku/>
        <w:wordWrap/>
        <w:overflowPunct/>
        <w:topLinePunct w:val="0"/>
        <w:autoSpaceDE/>
        <w:autoSpaceDN w:val="0"/>
        <w:bidi w:val="0"/>
        <w:adjustRightInd/>
        <w:snapToGrid/>
        <w:spacing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立项目的</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ind w:firstLine="640" w:firstLineChars="200"/>
        <w:textAlignment w:val="auto"/>
        <w:rPr>
          <w:rFonts w:hint="default" w:ascii="黑体" w:hAnsi="黑体" w:eastAsia="黑体" w:cs="黑体"/>
          <w:sz w:val="32"/>
          <w:szCs w:val="32"/>
          <w:lang w:val="en-US" w:eastAsia="zh-CN"/>
        </w:rPr>
      </w:pPr>
      <w:r>
        <w:rPr>
          <w:rFonts w:hint="default" w:ascii="仿宋_GB2312" w:hAnsi="宋体" w:eastAsia="仿宋_GB2312" w:cs="仿宋_GB2312"/>
          <w:kern w:val="2"/>
          <w:sz w:val="32"/>
          <w:szCs w:val="32"/>
          <w:lang w:val="en-US" w:eastAsia="zh-CN" w:bidi="ar-SA"/>
        </w:rPr>
        <w:t>(一)</w:t>
      </w:r>
      <w:r>
        <w:rPr>
          <w:rFonts w:hint="eastAsia" w:ascii="仿宋_GB2312" w:hAnsi="宋体" w:eastAsia="仿宋_GB2312" w:cs="仿宋_GB2312"/>
          <w:kern w:val="2"/>
          <w:sz w:val="32"/>
          <w:szCs w:val="32"/>
          <w:lang w:val="en-US" w:eastAsia="zh-CN" w:bidi="ar-SA"/>
        </w:rPr>
        <w:t>保障全民健身活动的开展。为群众健身提供一个良好的场地环境，提高健身积极性。</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default" w:ascii="仿宋_GB2312" w:hAnsi="宋体" w:eastAsia="仿宋_GB2312" w:cs="仿宋_GB2312"/>
          <w:kern w:val="2"/>
          <w:sz w:val="32"/>
          <w:szCs w:val="32"/>
          <w:lang w:val="en-US" w:eastAsia="zh-CN" w:bidi="ar-SA"/>
        </w:rPr>
        <w:t>(</w:t>
      </w:r>
      <w:r>
        <w:rPr>
          <w:rFonts w:hint="eastAsia" w:ascii="仿宋_GB2312" w:hAnsi="宋体" w:eastAsia="仿宋_GB2312" w:cs="仿宋_GB2312"/>
          <w:kern w:val="2"/>
          <w:sz w:val="32"/>
          <w:szCs w:val="32"/>
          <w:lang w:val="en-US" w:eastAsia="zh-CN" w:bidi="ar-SA"/>
        </w:rPr>
        <w:t>二</w:t>
      </w:r>
      <w:r>
        <w:rPr>
          <w:rFonts w:hint="default" w:ascii="仿宋_GB2312" w:hAnsi="宋体" w:eastAsia="仿宋_GB2312" w:cs="仿宋_GB2312"/>
          <w:kern w:val="2"/>
          <w:sz w:val="32"/>
          <w:szCs w:val="32"/>
          <w:lang w:val="en-US" w:eastAsia="zh-CN" w:bidi="ar-SA"/>
        </w:rPr>
        <w:t>)</w:t>
      </w:r>
      <w:r>
        <w:rPr>
          <w:rFonts w:hint="eastAsia" w:ascii="仿宋_GB2312" w:hAnsi="宋体" w:eastAsia="仿宋_GB2312" w:cs="仿宋_GB2312"/>
          <w:kern w:val="2"/>
          <w:sz w:val="32"/>
          <w:szCs w:val="32"/>
          <w:lang w:val="en-US" w:eastAsia="zh-CN" w:bidi="ar-SA"/>
        </w:rPr>
        <w:t>保障运动员日常训练活动的开展。为运动员训练提供场馆和服务。</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default" w:ascii="仿宋_GB2312" w:hAnsi="宋体" w:eastAsia="仿宋_GB2312" w:cs="仿宋_GB2312"/>
          <w:kern w:val="2"/>
          <w:sz w:val="32"/>
          <w:szCs w:val="32"/>
          <w:lang w:val="en-US" w:eastAsia="zh-CN" w:bidi="ar-SA"/>
        </w:rPr>
      </w:pPr>
      <w:r>
        <w:rPr>
          <w:rFonts w:hint="default" w:ascii="仿宋_GB2312" w:hAnsi="宋体" w:eastAsia="仿宋_GB2312" w:cs="仿宋_GB2312"/>
          <w:kern w:val="2"/>
          <w:sz w:val="32"/>
          <w:szCs w:val="32"/>
          <w:lang w:val="en-US" w:eastAsia="zh-CN" w:bidi="ar-SA"/>
        </w:rPr>
        <w:t>(三)</w:t>
      </w:r>
      <w:r>
        <w:rPr>
          <w:rFonts w:hint="eastAsia" w:ascii="仿宋_GB2312" w:hAnsi="宋体" w:eastAsia="仿宋_GB2312" w:cs="仿宋_GB2312"/>
          <w:kern w:val="2"/>
          <w:sz w:val="32"/>
          <w:szCs w:val="32"/>
          <w:lang w:val="en-US" w:eastAsia="zh-CN" w:bidi="ar-SA"/>
        </w:rPr>
        <w:t>促进体育场馆良性发展。维护体育场馆基础配套设施，保障体育场馆正常运行。</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8" w:name="_Toc1237"/>
      <w:bookmarkStart w:id="9" w:name="_Toc25692"/>
      <w:bookmarkStart w:id="10" w:name="_Toc22369"/>
      <w:r>
        <w:rPr>
          <w:rFonts w:hint="eastAsia" w:ascii="黑体" w:hAnsi="黑体" w:eastAsia="黑体" w:cs="黑体"/>
          <w:b w:val="0"/>
          <w:bCs/>
          <w:lang w:val="en-US" w:eastAsia="zh-CN"/>
        </w:rPr>
        <w:t>3、项目内容、执行标准和实施期限</w:t>
      </w:r>
      <w:bookmarkEnd w:id="8"/>
      <w:bookmarkEnd w:id="9"/>
      <w:bookmarkEnd w:id="10"/>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（1）项目内容</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2019年南昌市体育中心场地维护费主要使用在两个方面，一是维持日常运行，如物业费；二是完善场馆基础设施，如体育场顶棚钢结构及立柱等维修。</w:t>
      </w:r>
    </w:p>
    <w:p>
      <w:pPr>
        <w:keepNext w:val="0"/>
        <w:keepLines w:val="0"/>
        <w:pageBreakBefore w:val="0"/>
        <w:widowControl w:val="0"/>
        <w:numPr>
          <w:ilvl w:val="0"/>
          <w:numId w:val="5"/>
        </w:numPr>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执行标准</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项目按照《体育场馆运营管理办法》实施。</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（3）项目实施期限</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项目实施周期为2019年1月1日至2019年12月31日。</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textAlignment w:val="auto"/>
        <w:rPr>
          <w:rFonts w:hint="eastAsia" w:ascii="仿宋_GB2312" w:hAnsi="宋体" w:eastAsia="仿宋_GB2312" w:cs="仿宋_GB2312"/>
          <w:sz w:val="32"/>
          <w:szCs w:val="32"/>
          <w:lang w:val="en-US" w:eastAsia="zh-CN"/>
        </w:rPr>
      </w:pP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textAlignment w:val="auto"/>
        <w:rPr>
          <w:rFonts w:hint="eastAsia" w:ascii="黑体" w:hAnsi="黑体" w:eastAsia="黑体" w:cs="黑体"/>
          <w:b w:val="0"/>
          <w:bCs/>
          <w:lang w:val="en-US" w:eastAsia="zh-CN"/>
        </w:rPr>
      </w:pPr>
      <w:bookmarkStart w:id="11" w:name="_Toc10179"/>
      <w:bookmarkStart w:id="12" w:name="_Toc18405"/>
      <w:r>
        <w:rPr>
          <w:rFonts w:hint="eastAsia" w:ascii="黑体" w:hAnsi="黑体" w:eastAsia="黑体" w:cs="黑体"/>
          <w:b w:val="0"/>
          <w:bCs/>
          <w:lang w:val="en-US" w:eastAsia="zh-CN"/>
        </w:rPr>
        <w:t>4、资金投入和使用情况</w:t>
      </w:r>
      <w:bookmarkEnd w:id="11"/>
      <w:bookmarkEnd w:id="12"/>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（1）项目预算情况分析</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根据南昌市财政局关于《南昌市体育局2019年部门预算批复表》文件内容，2019年南昌市体育中心场地维护费安排财政资金63.04万元。</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（2）资金到位情况分析</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2019年南昌市体育中心场地维护费实际到位金额为63.04万元，资金到位率100%。该经费由南昌市财政局拨到南昌市体育局，南昌市体育局将经费下拨给南昌市体育中心。</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（1）资金使用情况分析</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2019年南昌市体育中心场地维护费63.3万元，具体支出明细如下：</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p>
    <w:tbl>
      <w:tblPr>
        <w:tblStyle w:val="13"/>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4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4564" w:type="dxa"/>
            <w:noWrap w:val="0"/>
            <w:vAlign w:val="top"/>
          </w:tcPr>
          <w:p>
            <w:pPr>
              <w:numPr>
                <w:ilvl w:val="0"/>
                <w:numId w:val="0"/>
              </w:numPr>
              <w:jc w:val="center"/>
              <w:rPr>
                <w:rFonts w:hint="default" w:ascii="仿宋" w:hAnsi="仿宋" w:eastAsia="仿宋" w:cs="Times New Roman"/>
                <w:b/>
                <w:bCs/>
                <w:kern w:val="2"/>
                <w:sz w:val="28"/>
                <w:szCs w:val="28"/>
                <w:vertAlign w:val="baseline"/>
                <w:lang w:val="en-US" w:eastAsia="zh-CN" w:bidi="ar-SA"/>
              </w:rPr>
            </w:pPr>
            <w:r>
              <w:rPr>
                <w:rFonts w:hint="eastAsia" w:ascii="仿宋" w:hAnsi="仿宋" w:eastAsia="仿宋" w:cs="Times New Roman"/>
                <w:b/>
                <w:bCs/>
                <w:kern w:val="2"/>
                <w:sz w:val="28"/>
                <w:szCs w:val="28"/>
                <w:vertAlign w:val="baseline"/>
                <w:lang w:val="en-US" w:eastAsia="zh-CN" w:bidi="ar-SA"/>
              </w:rPr>
              <w:t>使用明细</w:t>
            </w:r>
          </w:p>
        </w:tc>
        <w:tc>
          <w:tcPr>
            <w:tcW w:w="4095" w:type="dxa"/>
            <w:noWrap w:val="0"/>
            <w:vAlign w:val="top"/>
          </w:tcPr>
          <w:p>
            <w:pPr>
              <w:numPr>
                <w:ilvl w:val="0"/>
                <w:numId w:val="0"/>
              </w:numPr>
              <w:jc w:val="center"/>
              <w:rPr>
                <w:rFonts w:hint="eastAsia" w:ascii="仿宋" w:hAnsi="仿宋" w:eastAsia="仿宋" w:cs="Times New Roman"/>
                <w:b/>
                <w:bCs/>
                <w:kern w:val="2"/>
                <w:sz w:val="28"/>
                <w:szCs w:val="28"/>
                <w:vertAlign w:val="baseline"/>
                <w:lang w:val="en-US" w:eastAsia="zh-CN" w:bidi="ar-SA"/>
              </w:rPr>
            </w:pPr>
            <w:r>
              <w:rPr>
                <w:rFonts w:hint="eastAsia" w:ascii="仿宋" w:hAnsi="仿宋" w:eastAsia="仿宋" w:cs="Times New Roman"/>
                <w:b/>
                <w:bCs/>
                <w:kern w:val="2"/>
                <w:sz w:val="28"/>
                <w:szCs w:val="28"/>
                <w:vertAlign w:val="baseline"/>
                <w:lang w:val="en-US" w:eastAsia="zh-CN" w:bidi="ar-SA"/>
              </w:rPr>
              <w:t>使用资金（万元）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564" w:type="dxa"/>
            <w:noWrap w:val="0"/>
            <w:vAlign w:val="top"/>
          </w:tcPr>
          <w:p>
            <w:pPr>
              <w:numPr>
                <w:ilvl w:val="0"/>
                <w:numId w:val="0"/>
              </w:numPr>
              <w:jc w:val="center"/>
              <w:rPr>
                <w:rFonts w:hint="default" w:ascii="仿宋" w:hAnsi="仿宋" w:eastAsia="仿宋" w:cs="Times New Roman"/>
                <w:b w:val="0"/>
                <w:kern w:val="2"/>
                <w:sz w:val="28"/>
                <w:szCs w:val="28"/>
                <w:vertAlign w:val="baseline"/>
                <w:lang w:val="en-US" w:eastAsia="zh-CN" w:bidi="ar-SA"/>
              </w:rPr>
            </w:pPr>
            <w:r>
              <w:rPr>
                <w:rFonts w:hint="eastAsia" w:ascii="仿宋" w:hAnsi="仿宋" w:eastAsia="仿宋" w:cs="Times New Roman"/>
                <w:b w:val="0"/>
                <w:kern w:val="2"/>
                <w:sz w:val="28"/>
                <w:szCs w:val="28"/>
                <w:vertAlign w:val="baseline"/>
                <w:lang w:val="en-US" w:eastAsia="zh-CN" w:bidi="ar-SA"/>
              </w:rPr>
              <w:t>物业费</w:t>
            </w:r>
          </w:p>
        </w:tc>
        <w:tc>
          <w:tcPr>
            <w:tcW w:w="4095" w:type="dxa"/>
            <w:noWrap w:val="0"/>
            <w:vAlign w:val="top"/>
          </w:tcPr>
          <w:p>
            <w:pPr>
              <w:numPr>
                <w:ilvl w:val="0"/>
                <w:numId w:val="0"/>
              </w:numPr>
              <w:jc w:val="center"/>
              <w:rPr>
                <w:rFonts w:hint="default" w:ascii="仿宋" w:hAnsi="仿宋" w:eastAsia="仿宋" w:cs="Times New Roman"/>
                <w:b w:val="0"/>
                <w:kern w:val="2"/>
                <w:sz w:val="28"/>
                <w:szCs w:val="28"/>
                <w:vertAlign w:val="baseline"/>
                <w:lang w:val="en-US" w:eastAsia="zh-CN" w:bidi="ar-SA"/>
              </w:rPr>
            </w:pPr>
            <w:r>
              <w:rPr>
                <w:rFonts w:hint="eastAsia" w:ascii="仿宋" w:hAnsi="仿宋" w:eastAsia="仿宋" w:cs="Times New Roman"/>
                <w:b w:val="0"/>
                <w:kern w:val="2"/>
                <w:sz w:val="28"/>
                <w:szCs w:val="28"/>
                <w:vertAlign w:val="baseline"/>
                <w:lang w:val="en-US" w:eastAsia="zh-CN" w:bidi="ar-SA"/>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564" w:type="dxa"/>
            <w:noWrap w:val="0"/>
            <w:vAlign w:val="top"/>
          </w:tcPr>
          <w:p>
            <w:pPr>
              <w:numPr>
                <w:ilvl w:val="0"/>
                <w:numId w:val="0"/>
              </w:numPr>
              <w:jc w:val="center"/>
              <w:rPr>
                <w:rFonts w:hint="eastAsia" w:ascii="仿宋" w:hAnsi="仿宋" w:eastAsia="仿宋" w:cs="Times New Roman"/>
                <w:b w:val="0"/>
                <w:kern w:val="2"/>
                <w:sz w:val="28"/>
                <w:szCs w:val="28"/>
                <w:vertAlign w:val="baseline"/>
                <w:lang w:val="en-US" w:eastAsia="zh-CN" w:bidi="ar-SA"/>
              </w:rPr>
            </w:pPr>
            <w:r>
              <w:rPr>
                <w:rFonts w:hint="eastAsia" w:ascii="仿宋" w:hAnsi="仿宋" w:eastAsia="仿宋" w:cs="Times New Roman"/>
                <w:b w:val="0"/>
                <w:kern w:val="2"/>
                <w:sz w:val="28"/>
                <w:szCs w:val="28"/>
                <w:vertAlign w:val="baseline"/>
                <w:lang w:val="en-US" w:eastAsia="zh-CN" w:bidi="ar-SA"/>
              </w:rPr>
              <w:t>顶棚钢结构及立柱维修改造</w:t>
            </w:r>
          </w:p>
        </w:tc>
        <w:tc>
          <w:tcPr>
            <w:tcW w:w="4095" w:type="dxa"/>
            <w:noWrap w:val="0"/>
            <w:vAlign w:val="top"/>
          </w:tcPr>
          <w:p>
            <w:pPr>
              <w:numPr>
                <w:ilvl w:val="0"/>
                <w:numId w:val="0"/>
              </w:numPr>
              <w:jc w:val="center"/>
              <w:rPr>
                <w:rFonts w:hint="default" w:ascii="仿宋" w:hAnsi="仿宋" w:eastAsia="仿宋" w:cs="Times New Roman"/>
                <w:b w:val="0"/>
                <w:kern w:val="2"/>
                <w:sz w:val="28"/>
                <w:szCs w:val="28"/>
                <w:vertAlign w:val="baseline"/>
                <w:lang w:val="en-US" w:eastAsia="zh-CN" w:bidi="ar-SA"/>
              </w:rPr>
            </w:pPr>
            <w:r>
              <w:rPr>
                <w:rFonts w:hint="eastAsia" w:ascii="仿宋" w:hAnsi="仿宋" w:eastAsia="仿宋" w:cs="Times New Roman"/>
                <w:b w:val="0"/>
                <w:kern w:val="2"/>
                <w:sz w:val="28"/>
                <w:szCs w:val="28"/>
                <w:vertAlign w:val="baseline"/>
                <w:lang w:val="en-US" w:eastAsia="zh-CN" w:bidi="ar-SA"/>
              </w:rPr>
              <w:t>47.9</w:t>
            </w:r>
          </w:p>
        </w:tc>
      </w:tr>
    </w:tbl>
    <w:p>
      <w:pPr>
        <w:pStyle w:val="4"/>
        <w:keepNext/>
        <w:keepLines/>
        <w:pageBreakBefore w:val="0"/>
        <w:widowControl w:val="0"/>
        <w:numPr>
          <w:ilvl w:val="0"/>
          <w:numId w:val="6"/>
        </w:numPr>
        <w:kinsoku/>
        <w:wordWrap/>
        <w:overflowPunct/>
        <w:topLinePunct w:val="0"/>
        <w:autoSpaceDE/>
        <w:autoSpaceDN/>
        <w:bidi w:val="0"/>
        <w:adjustRightInd/>
        <w:snapToGrid/>
        <w:spacing w:before="0" w:beforeLines="0" w:beforeAutospacing="0" w:after="0" w:afterLines="0" w:afterAutospacing="0" w:line="500" w:lineRule="exact"/>
        <w:textAlignment w:val="auto"/>
        <w:rPr>
          <w:rFonts w:hint="eastAsia" w:ascii="黑体" w:hAnsi="黑体" w:eastAsia="黑体" w:cs="黑体"/>
          <w:b w:val="0"/>
          <w:bCs/>
          <w:szCs w:val="22"/>
          <w:lang w:val="en-US" w:eastAsia="zh-CN"/>
        </w:rPr>
      </w:pPr>
      <w:bookmarkStart w:id="13" w:name="_Toc32460"/>
      <w:bookmarkStart w:id="14" w:name="_Toc32648"/>
      <w:r>
        <w:rPr>
          <w:rFonts w:hint="eastAsia" w:ascii="黑体" w:hAnsi="黑体" w:eastAsia="黑体" w:cs="黑体"/>
          <w:b w:val="0"/>
          <w:bCs/>
          <w:szCs w:val="22"/>
          <w:lang w:val="en-US" w:eastAsia="zh-CN"/>
        </w:rPr>
        <w:t>项目绩效目标</w:t>
      </w:r>
      <w:bookmarkEnd w:id="13"/>
      <w:bookmarkEnd w:id="14"/>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1、项目绩效总目标</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维持场馆的正常运行，保证体育活动的顺利开展，为运动员提供良好的训练环境。</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2、项目阶段性目标</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（1）做好全年物业保障工作。</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（2）在2019年7月至9月，完成顶棚钢结构及立柱维修改造工程。</w:t>
      </w: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sz w:val="36"/>
          <w:szCs w:val="36"/>
        </w:rPr>
      </w:pPr>
      <w:bookmarkStart w:id="15" w:name="_Toc30331"/>
      <w:bookmarkStart w:id="16" w:name="_Toc7522"/>
      <w:r>
        <w:rPr>
          <w:rFonts w:hint="eastAsia" w:ascii="黑体" w:hAnsi="黑体" w:eastAsia="黑体" w:cs="黑体"/>
          <w:sz w:val="36"/>
          <w:szCs w:val="36"/>
        </w:rPr>
        <w:t>二、绩效评价工作</w:t>
      </w:r>
      <w:r>
        <w:rPr>
          <w:rFonts w:hint="eastAsia" w:ascii="黑体" w:hAnsi="黑体" w:eastAsia="黑体" w:cs="黑体"/>
          <w:sz w:val="36"/>
          <w:szCs w:val="36"/>
          <w:lang w:eastAsia="zh-CN"/>
        </w:rPr>
        <w:t>开展</w:t>
      </w:r>
      <w:r>
        <w:rPr>
          <w:rFonts w:hint="eastAsia" w:ascii="黑体" w:hAnsi="黑体" w:eastAsia="黑体" w:cs="黑体"/>
          <w:sz w:val="36"/>
          <w:szCs w:val="36"/>
        </w:rPr>
        <w:t>情况</w:t>
      </w:r>
      <w:bookmarkEnd w:id="15"/>
      <w:bookmarkEnd w:id="16"/>
    </w:p>
    <w:p>
      <w:pPr>
        <w:pStyle w:val="4"/>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00" w:lineRule="exact"/>
        <w:textAlignment w:val="auto"/>
        <w:rPr>
          <w:rFonts w:hint="eastAsia" w:ascii="黑体" w:hAnsi="黑体" w:eastAsia="黑体" w:cs="黑体"/>
          <w:b w:val="0"/>
          <w:bCs/>
          <w:szCs w:val="22"/>
          <w:lang w:val="en-US" w:eastAsia="zh-CN"/>
        </w:rPr>
      </w:pPr>
      <w:bookmarkStart w:id="17" w:name="_Toc26464"/>
      <w:bookmarkStart w:id="18" w:name="_Toc5900"/>
      <w:r>
        <w:rPr>
          <w:rFonts w:hint="eastAsia" w:ascii="黑体" w:hAnsi="黑体" w:eastAsia="黑体" w:cs="黑体"/>
          <w:b w:val="0"/>
          <w:bCs/>
          <w:szCs w:val="22"/>
          <w:lang w:val="en-US" w:eastAsia="zh-CN"/>
        </w:rPr>
        <w:t>（一）绩效评价目的</w:t>
      </w:r>
      <w:bookmarkEnd w:id="17"/>
      <w:bookmarkEnd w:id="18"/>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本次绩效评价的主要目的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1.掌握2019年度南昌市体育中心场地维护费的申请拨付以及使用情况；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2.了解2019年度南昌市体育中心场地维护费项目产出与效果；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3.发现项目经费使用及项目实施中存在的不足和问题，并提出有针对性、可操作的解决对策。</w:t>
      </w:r>
    </w:p>
    <w:p>
      <w:pPr>
        <w:pStyle w:val="4"/>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00" w:lineRule="exact"/>
        <w:textAlignment w:val="auto"/>
        <w:rPr>
          <w:rFonts w:hint="eastAsia" w:ascii="黑体" w:hAnsi="黑体" w:eastAsia="黑体" w:cs="黑体"/>
          <w:b w:val="0"/>
          <w:bCs/>
          <w:szCs w:val="22"/>
          <w:lang w:val="en-US" w:eastAsia="zh-CN"/>
        </w:rPr>
      </w:pPr>
      <w:bookmarkStart w:id="19" w:name="_Toc25741"/>
      <w:r>
        <w:rPr>
          <w:rFonts w:hint="eastAsia" w:ascii="黑体" w:hAnsi="黑体" w:cs="黑体"/>
          <w:b w:val="0"/>
          <w:bCs/>
          <w:szCs w:val="22"/>
          <w:lang w:val="en-US" w:eastAsia="zh-CN"/>
        </w:rPr>
        <w:t>（</w:t>
      </w:r>
      <w:r>
        <w:rPr>
          <w:rFonts w:hint="eastAsia" w:ascii="黑体" w:hAnsi="黑体" w:eastAsia="黑体" w:cs="黑体"/>
          <w:b w:val="0"/>
          <w:bCs/>
          <w:szCs w:val="22"/>
          <w:lang w:val="en-US" w:eastAsia="zh-CN"/>
        </w:rPr>
        <w:t>二）绩效评价原则和依据、评价指标体系、评价方法</w:t>
      </w:r>
      <w:bookmarkEnd w:id="19"/>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b/>
          <w:bCs w:val="0"/>
          <w:szCs w:val="22"/>
          <w:lang w:val="en-US" w:eastAsia="zh-CN"/>
        </w:rPr>
      </w:pPr>
      <w:bookmarkStart w:id="20" w:name="_Toc28699"/>
      <w:bookmarkStart w:id="21" w:name="_Toc530"/>
      <w:r>
        <w:rPr>
          <w:rFonts w:hint="eastAsia"/>
          <w:b/>
          <w:bCs w:val="0"/>
          <w:szCs w:val="22"/>
          <w:lang w:val="en-US" w:eastAsia="zh-CN"/>
        </w:rPr>
        <w:t>1、绩效评价原则</w:t>
      </w:r>
      <w:bookmarkEnd w:id="20"/>
      <w:bookmarkEnd w:id="21"/>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（1）科学规范原则。绩效评价应当严格执行规定的程序，按照科学可行的要求，采用定量与定性分析相结合的方法，对项目进行客观的评价。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（2）公正公开原则。绩效评价应当秉持真实、客观、公正的原则，对项目进行公正的反映，依法公开并接受监督。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（3）分级分类原则。绩效评价由各级财政部门、各级预算部门根据评价对象的特点分类组织实施。</w:t>
      </w:r>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default" w:ascii="黑体" w:hAnsi="黑体" w:eastAsia="黑体" w:cs="黑体"/>
          <w:b w:val="0"/>
          <w:bCs/>
          <w:lang w:val="en-US" w:eastAsia="zh-CN"/>
        </w:rPr>
      </w:pPr>
      <w:bookmarkStart w:id="22" w:name="_Toc23057"/>
      <w:bookmarkStart w:id="23" w:name="_Toc305"/>
      <w:bookmarkStart w:id="24" w:name="_Toc11309"/>
      <w:r>
        <w:rPr>
          <w:rFonts w:hint="eastAsia" w:ascii="黑体" w:hAnsi="黑体" w:eastAsia="黑体" w:cs="黑体"/>
          <w:b w:val="0"/>
          <w:bCs/>
          <w:lang w:val="en-US" w:eastAsia="zh-CN"/>
        </w:rPr>
        <w:t>2、绩效评价指标体系</w:t>
      </w:r>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根据财政部《预算绩效评价共性指标体系框架》等文件精神，确定本次绩效评价指标的整体框架。其中包括项目投入指标（项目立项、资金落实），项目产出指标（产出数量、产出质量、产出时效、产出成本），项目效益指标（社会效益、生态效益、可持续影响），项目满意度（社会公众或服务对象满意度），再结合项目主管单位确定的工作绩效目标以及项目运行要求等内容，确定本次绩效评价指标体系的三级指标，并与项目主管单位、财政部门等项目相关方进行协商，确定最终全部指标内容。具体详见《项目绩效评分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（1）项目投入：占权重分10分。用于考核预算资金执行率。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（3）项目产出：占权重50分，分为产出数量、产出质量、产出时效、产出成本四个方面。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（4）项目效果：占权重30分，分为社会效益、生态效益、可持续影响三个方面。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（5）项目满意度：占权重10分，主要是指资金项目的服务对象或公众满意度。</w:t>
      </w:r>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25" w:name="_Toc13380"/>
      <w:bookmarkStart w:id="26" w:name="_Toc27385"/>
      <w:bookmarkStart w:id="27" w:name="_Toc30802"/>
      <w:r>
        <w:rPr>
          <w:rFonts w:hint="eastAsia" w:ascii="黑体" w:hAnsi="黑体" w:eastAsia="黑体" w:cs="黑体"/>
          <w:b w:val="0"/>
          <w:bCs/>
          <w:lang w:val="en-US" w:eastAsia="zh-CN"/>
        </w:rPr>
        <w:t>3、绩效评价方法</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评价主要采用了现场核查、深度访谈、财务审计及问卷调查等方法，以掌握项目详细情况，并对采集的数据做详细的分析和统计。文件核查主要用以核实项目立项的规范性以及项目运行的各项要求，从而确定评价的标准和范围；深度访谈则是和项目相关方的负责人对话，从整体和流程上了解项目的基本情况；财务审计则是通过专业财务人员抽查相关财务凭证，掌握专项经费的使用情况；问卷调查则是采取随机抽样的方法，对项目资金实际受益者进行满意度调查。</w:t>
      </w:r>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6"/>
          <w:szCs w:val="36"/>
          <w:lang w:val="en-US" w:eastAsia="zh-CN"/>
        </w:rPr>
      </w:pPr>
      <w:bookmarkStart w:id="28" w:name="_Toc4963"/>
      <w:bookmarkStart w:id="29" w:name="_Toc26622"/>
      <w:r>
        <w:rPr>
          <w:rFonts w:hint="eastAsia" w:ascii="黑体" w:hAnsi="黑体" w:eastAsia="黑体" w:cs="黑体"/>
          <w:sz w:val="36"/>
          <w:szCs w:val="36"/>
          <w:lang w:val="en-US" w:eastAsia="zh-CN"/>
        </w:rPr>
        <w:t>（三）绩效评价工作过程</w:t>
      </w:r>
      <w:bookmarkEnd w:id="28"/>
      <w:bookmarkEnd w:id="29"/>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自2020年5月8日项目布置会以来，评价组在研读项目资料、领悟文件精神、咨询相关专家的基础上，在前期完成了绩效评价工作方案的编制，明确了本次绩效评价的目的、方法、评价的原则、评价标准、时间安排等。评价组严格按照工作方案，通过前期准备、实地核查、满意度调查、数据分析和报告撰写等环节，顺利完成了本次绩效评价报告工作。具体工作过程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（1）前期准备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2020年5月8日至5月15日，属于本次绩效评价的前期准备工作阶段，完成了人员组织、资料准备、工作方案的确定及证据收集方式的确认等一系列工作。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（2）实地核查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szCs w:val="22"/>
          <w:lang w:val="en-US" w:eastAsia="zh-CN"/>
        </w:rPr>
      </w:pPr>
      <w:r>
        <w:rPr>
          <w:rFonts w:hint="eastAsia" w:ascii="仿宋_GB2312" w:hAnsi="宋体" w:eastAsia="仿宋_GB2312" w:cs="仿宋_GB2312"/>
          <w:b w:val="0"/>
          <w:kern w:val="2"/>
          <w:sz w:val="32"/>
          <w:szCs w:val="32"/>
          <w:lang w:val="en-US" w:eastAsia="zh-CN" w:bidi="ar-SA"/>
        </w:rPr>
        <w:t>2020年5月16日至年5月20日，属于项目资料核查阶段，主要核查事项包括专项资金的拨付以及使用明细，绩效目标的实现情况，及电话回访下属单位项目的具体执行情况，为后续分析及报告撰写做好铺垫。</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20" w:firstLineChars="1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（3）满意度调查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为客观评价2019年度南昌市体育中心场地维护费专项资金支出的社会效果，评价小组引入满意度调查指标，通过对项目资金实际受益者进行问卷调查，收集意见与建议。</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（4）数据分析及撰写报告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评价组根据绩效评价的原理和规范，对采集的数据进行甄别、分析和评分，并提炼结论撰写报告，经过内部评审通过之后，在规定时间内上报委托方，由委托方组织相关专家对报告进行评审。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s="仿宋_GB2312"/>
          <w:b w:val="0"/>
          <w:kern w:val="2"/>
          <w:sz w:val="32"/>
          <w:szCs w:val="32"/>
          <w:lang w:val="en-US" w:eastAsia="zh-CN" w:bidi="ar-SA"/>
        </w:rPr>
      </w:pP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textAlignment w:val="auto"/>
        <w:rPr>
          <w:rFonts w:hint="default" w:ascii="仿宋_GB2312" w:hAnsi="宋体" w:eastAsia="仿宋_GB2312" w:cs="仿宋_GB2312"/>
          <w:sz w:val="32"/>
          <w:szCs w:val="32"/>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default" w:ascii="仿宋_GB2312" w:hAnsi="宋体" w:eastAsia="仿宋_GB2312" w:cs="仿宋_GB2312"/>
          <w:sz w:val="32"/>
          <w:szCs w:val="32"/>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b w:val="0"/>
          <w:bCs/>
          <w:lang w:val="en-US" w:eastAsia="zh-CN"/>
        </w:rPr>
      </w:pPr>
      <w:bookmarkStart w:id="30" w:name="_Toc26373"/>
      <w:bookmarkStart w:id="31" w:name="_Toc32339"/>
      <w:bookmarkStart w:id="32" w:name="_Toc19809"/>
      <w:r>
        <w:rPr>
          <w:rFonts w:hint="eastAsia" w:ascii="黑体" w:hAnsi="黑体" w:eastAsia="黑体" w:cs="黑体"/>
          <w:b w:val="0"/>
          <w:bCs/>
          <w:lang w:val="en-US" w:eastAsia="zh-CN"/>
        </w:rPr>
        <w:t>三、综合评价结果及评价结论</w:t>
      </w:r>
      <w:bookmarkEnd w:id="30"/>
      <w:bookmarkEnd w:id="31"/>
      <w:bookmarkEnd w:id="32"/>
    </w:p>
    <w:p>
      <w:pPr>
        <w:pStyle w:val="4"/>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33" w:name="_Toc11733"/>
      <w:bookmarkStart w:id="34" w:name="_Toc19215"/>
      <w:bookmarkStart w:id="35" w:name="_Toc846"/>
      <w:r>
        <w:rPr>
          <w:rFonts w:hint="eastAsia" w:ascii="黑体" w:hAnsi="黑体" w:eastAsia="黑体" w:cs="黑体"/>
          <w:b w:val="0"/>
          <w:bCs/>
          <w:lang w:val="en-US" w:eastAsia="zh-CN"/>
        </w:rPr>
        <w:t>（一)评价结果</w:t>
      </w:r>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评价组围绕绩效评价指标体系，通过数据采集分析，财务核查、实地核查及访谈等方式，对该项目绩效进行了客观、公正、合理、有效的评价，最终评价结果为94分，依据财政绩效评价等级划分，本项目绩效评价等级为“优”。</w:t>
      </w:r>
      <w:bookmarkStart w:id="36" w:name="_Toc18151"/>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预算执行权重10分，实际得分为10分。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产出指标权重50分，实际得分为49分。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效益指标权重30分，实际得分为27分。</w:t>
      </w:r>
    </w:p>
    <w:p>
      <w:pPr>
        <w:pStyle w:val="2"/>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满意度指标权重10分，实际得分为8分。</w:t>
      </w:r>
    </w:p>
    <w:p>
      <w:pPr>
        <w:pStyle w:val="4"/>
        <w:keepNext/>
        <w:keepLines/>
        <w:pageBreakBefore w:val="0"/>
        <w:widowControl w:val="0"/>
        <w:kinsoku/>
        <w:wordWrap/>
        <w:overflowPunct/>
        <w:topLinePunct w:val="0"/>
        <w:autoSpaceDE/>
        <w:autoSpaceDN/>
        <w:bidi w:val="0"/>
        <w:adjustRightInd/>
        <w:snapToGrid/>
        <w:spacing w:before="0" w:after="0" w:line="500" w:lineRule="exact"/>
        <w:textAlignment w:val="auto"/>
        <w:rPr>
          <w:rFonts w:hint="default" w:ascii="黑体" w:hAnsi="黑体" w:eastAsia="黑体" w:cs="黑体"/>
          <w:b w:val="0"/>
          <w:bCs/>
          <w:szCs w:val="22"/>
          <w:lang w:val="en-US" w:eastAsia="zh-CN"/>
        </w:rPr>
      </w:pPr>
      <w:bookmarkStart w:id="37" w:name="_Toc10446"/>
      <w:bookmarkStart w:id="38" w:name="_Toc22988"/>
      <w:r>
        <w:rPr>
          <w:rFonts w:hint="eastAsia" w:ascii="黑体" w:hAnsi="黑体" w:eastAsia="黑体" w:cs="黑体"/>
          <w:b w:val="0"/>
          <w:bCs/>
          <w:szCs w:val="22"/>
          <w:lang w:val="en-US" w:eastAsia="zh-CN"/>
        </w:rPr>
        <w:t>（二）评价结论</w:t>
      </w:r>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综合来看，2019年南昌市体育中心场地维护费使用效果良好，该项目经费主要用在物业管理及维修改造方面，经过现场核查，物业管理到位，活动秩序有然，环境整洁干净，维修改造保质保量的完成。</w:t>
      </w: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b w:val="0"/>
          <w:bCs/>
          <w:szCs w:val="22"/>
          <w:lang w:val="en-US" w:eastAsia="zh-CN"/>
        </w:rPr>
      </w:pPr>
      <w:bookmarkStart w:id="39" w:name="_Toc13817"/>
      <w:bookmarkStart w:id="40" w:name="_Toc14416"/>
      <w:r>
        <w:rPr>
          <w:rFonts w:hint="eastAsia" w:ascii="黑体" w:hAnsi="黑体" w:eastAsia="黑体" w:cs="黑体"/>
          <w:b w:val="0"/>
          <w:bCs/>
          <w:szCs w:val="22"/>
          <w:lang w:val="en-US" w:eastAsia="zh-CN"/>
        </w:rPr>
        <w:t>四、绩效评价指标分析情况</w:t>
      </w:r>
      <w:bookmarkEnd w:id="39"/>
      <w:bookmarkEnd w:id="40"/>
    </w:p>
    <w:p>
      <w:pPr>
        <w:pStyle w:val="4"/>
        <w:keepNext/>
        <w:keepLines/>
        <w:pageBreakBefore w:val="0"/>
        <w:widowControl w:val="0"/>
        <w:numPr>
          <w:ilvl w:val="0"/>
          <w:numId w:val="7"/>
        </w:numPr>
        <w:kinsoku/>
        <w:wordWrap/>
        <w:overflowPunct/>
        <w:topLinePunct w:val="0"/>
        <w:autoSpaceDE/>
        <w:autoSpaceDN/>
        <w:bidi w:val="0"/>
        <w:adjustRightInd/>
        <w:snapToGrid/>
        <w:spacing w:before="0" w:after="0" w:line="500" w:lineRule="exact"/>
        <w:textAlignment w:val="auto"/>
        <w:rPr>
          <w:rFonts w:hint="eastAsia"/>
          <w:lang w:val="en-US" w:eastAsia="zh-CN"/>
        </w:rPr>
      </w:pPr>
      <w:r>
        <w:rPr>
          <w:rFonts w:hint="eastAsia"/>
          <w:b w:val="0"/>
          <w:bCs/>
          <w:lang w:val="en-US" w:eastAsia="zh-CN"/>
        </w:rPr>
        <w:t>项目决策情况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该项目符合《体育场馆运营管理办法》的要求，经过部门内部讨论，严格按照程序进行项目的预算申报，并根据项目实际需要和本年度计划工作内容，设定了绩效目标，且目标明确，与预算确定的项目投资额相匹配。</w:t>
      </w:r>
    </w:p>
    <w:p>
      <w:pPr>
        <w:pStyle w:val="4"/>
        <w:keepNext/>
        <w:keepLines/>
        <w:pageBreakBefore w:val="0"/>
        <w:widowControl w:val="0"/>
        <w:numPr>
          <w:ilvl w:val="0"/>
          <w:numId w:val="7"/>
        </w:numPr>
        <w:kinsoku/>
        <w:wordWrap/>
        <w:overflowPunct/>
        <w:topLinePunct w:val="0"/>
        <w:autoSpaceDE/>
        <w:autoSpaceDN/>
        <w:bidi w:val="0"/>
        <w:adjustRightInd/>
        <w:snapToGrid/>
        <w:spacing w:before="0" w:after="0" w:line="500" w:lineRule="exact"/>
        <w:textAlignment w:val="auto"/>
        <w:rPr>
          <w:rFonts w:hint="eastAsia"/>
          <w:lang w:val="en-US" w:eastAsia="zh-CN"/>
        </w:rPr>
      </w:pPr>
      <w:r>
        <w:rPr>
          <w:rFonts w:hint="eastAsia"/>
          <w:b w:val="0"/>
          <w:bCs/>
          <w:lang w:val="en-US" w:eastAsia="zh-CN"/>
        </w:rPr>
        <w:t>项目过程情况</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eastAsia"/>
          <w:lang w:val="en-US" w:eastAsia="zh-CN"/>
        </w:rPr>
      </w:pPr>
      <w:r>
        <w:rPr>
          <w:rFonts w:hint="eastAsia"/>
          <w:b w:val="0"/>
          <w:bCs/>
          <w:lang w:val="en-US" w:eastAsia="zh-CN"/>
        </w:rPr>
        <w:t>1、预算资金执行率（10分）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根据《南昌市体育局2019年部门预算批复表》，2019年南昌市体育中心场地维护费项目经费安排63.04，物业费和顶棚钢结构及立柱维修改造共支出63.3万元，故该项目预算资金执行率为100.4%，该指标得分10分。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Arial" w:hAnsi="Arial" w:eastAsia="黑体" w:cs="Times New Roman"/>
          <w:b w:val="0"/>
          <w:bCs/>
          <w:kern w:val="2"/>
          <w:sz w:val="32"/>
          <w:szCs w:val="22"/>
          <w:lang w:val="en-US" w:eastAsia="zh-CN" w:bidi="ar-SA"/>
        </w:rPr>
      </w:pPr>
      <w:r>
        <w:rPr>
          <w:rFonts w:hint="eastAsia" w:ascii="Arial" w:hAnsi="Arial" w:eastAsia="黑体" w:cs="Times New Roman"/>
          <w:b w:val="0"/>
          <w:bCs/>
          <w:kern w:val="2"/>
          <w:sz w:val="32"/>
          <w:szCs w:val="22"/>
          <w:lang w:val="en-US" w:eastAsia="zh-CN" w:bidi="ar-SA"/>
        </w:rPr>
        <w:t>2、财务管理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lang w:val="en-US" w:eastAsia="zh-CN"/>
        </w:rPr>
      </w:pPr>
      <w:r>
        <w:rPr>
          <w:rFonts w:hint="eastAsia" w:ascii="仿宋_GB2312" w:hAnsi="宋体" w:eastAsia="仿宋_GB2312" w:cs="仿宋_GB2312"/>
          <w:b w:val="0"/>
          <w:kern w:val="2"/>
          <w:sz w:val="32"/>
          <w:szCs w:val="32"/>
          <w:lang w:val="en-US" w:eastAsia="zh-CN" w:bidi="ar-SA"/>
        </w:rPr>
        <w:t>该项目严格按照南昌市体育中心财务管理制度的要求，实行专款专用。该项目资金的申请、审核、拨付规范、不存在杜绝挤占、挪用等违规行为。</w:t>
      </w:r>
    </w:p>
    <w:p>
      <w:pPr>
        <w:pStyle w:val="4"/>
        <w:keepNext/>
        <w:keepLines/>
        <w:pageBreakBefore w:val="0"/>
        <w:widowControl w:val="0"/>
        <w:numPr>
          <w:ilvl w:val="0"/>
          <w:numId w:val="7"/>
        </w:numPr>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41" w:name="_Toc13649"/>
      <w:bookmarkStart w:id="42" w:name="_Toc24110"/>
      <w:bookmarkStart w:id="43" w:name="_Toc29533"/>
      <w:r>
        <w:rPr>
          <w:rFonts w:hint="eastAsia"/>
          <w:b w:val="0"/>
          <w:bCs/>
          <w:lang w:val="en-US" w:eastAsia="zh-CN"/>
        </w:rPr>
        <w:t>产出指标完成情况分析</w:t>
      </w:r>
      <w:bookmarkEnd w:id="41"/>
      <w:r>
        <w:rPr>
          <w:rFonts w:hint="eastAsia"/>
          <w:b w:val="0"/>
          <w:bCs/>
          <w:lang w:val="en-US" w:eastAsia="zh-CN"/>
        </w:rPr>
        <w:t>（50分）</w:t>
      </w:r>
      <w:bookmarkEnd w:id="42"/>
      <w:bookmarkEnd w:id="43"/>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b/>
          <w:bCs w:val="0"/>
          <w:szCs w:val="22"/>
          <w:lang w:val="en-US" w:eastAsia="zh-CN"/>
        </w:rPr>
      </w:pPr>
      <w:bookmarkStart w:id="44" w:name="_Toc2161"/>
      <w:bookmarkStart w:id="45" w:name="_Toc2874"/>
      <w:r>
        <w:rPr>
          <w:rFonts w:hint="eastAsia"/>
          <w:b/>
          <w:bCs w:val="0"/>
          <w:szCs w:val="22"/>
          <w:lang w:val="en-US" w:eastAsia="zh-CN"/>
        </w:rPr>
        <w:t>1、数量指标（20分）</w:t>
      </w:r>
      <w:bookmarkEnd w:id="44"/>
      <w:bookmarkEnd w:id="45"/>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A、物业管理</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ind w:firstLine="643"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保障全年物业管理。</w:t>
      </w:r>
      <w:r>
        <w:rPr>
          <w:rFonts w:hint="eastAsia" w:ascii="仿宋_GB2312" w:hAnsi="宋体" w:eastAsia="仿宋_GB2312" w:cs="仿宋_GB2312"/>
          <w:b w:val="0"/>
          <w:kern w:val="2"/>
          <w:sz w:val="32"/>
          <w:szCs w:val="32"/>
          <w:lang w:val="en-US" w:eastAsia="zh-CN" w:bidi="ar-SA"/>
        </w:rPr>
        <w:t>该事项已通过购买服务委托给江西华阳物业管理有限公司，2019年体育场馆运作良好，环境优美，能够满足日常体育活动的开展。设定分值为5分，该项指标得5分。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B、维修改造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 xml:space="preserve">  </w:t>
      </w:r>
      <w:r>
        <w:rPr>
          <w:rFonts w:hint="eastAsia" w:ascii="仿宋_GB2312" w:hAnsi="宋体" w:eastAsia="仿宋_GB2312" w:cs="仿宋_GB2312"/>
          <w:b w:val="0"/>
          <w:kern w:val="2"/>
          <w:sz w:val="32"/>
          <w:szCs w:val="32"/>
          <w:lang w:val="en-US" w:eastAsia="zh-CN" w:bidi="ar-SA"/>
        </w:rPr>
        <w:t xml:space="preserve"> </w:t>
      </w:r>
      <w:r>
        <w:rPr>
          <w:rFonts w:hint="eastAsia" w:ascii="仿宋_GB2312" w:hAnsi="宋体" w:eastAsia="仿宋_GB2312" w:cs="仿宋_GB2312"/>
          <w:b/>
          <w:bCs/>
          <w:kern w:val="2"/>
          <w:sz w:val="32"/>
          <w:szCs w:val="32"/>
          <w:lang w:val="en-US" w:eastAsia="zh-CN" w:bidi="ar-SA"/>
        </w:rPr>
        <w:t>完成体育场顶棚钢结构及立柱等5000平方米维修。</w:t>
      </w:r>
      <w:r>
        <w:rPr>
          <w:rFonts w:hint="eastAsia" w:ascii="仿宋_GB2312" w:hAnsi="宋体" w:eastAsia="仿宋_GB2312" w:cs="仿宋_GB2312"/>
          <w:b w:val="0"/>
          <w:kern w:val="2"/>
          <w:sz w:val="32"/>
          <w:szCs w:val="32"/>
          <w:lang w:val="en-US" w:eastAsia="zh-CN" w:bidi="ar-SA"/>
        </w:rPr>
        <w:t>在2019年6月进行了八一体育场顶棚钢结构及立柱等维修改造</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项目招投标采购，与江西瑞锦建设工程有限公司签订合同，完成了5665.46平方米的维修改造，达到了年初设定的目标值5000平方米。设定分值为15分，该项指标得15分。</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ind w:firstLine="64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故项目产出数量得20分。</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textAlignment w:val="auto"/>
        <w:rPr>
          <w:rFonts w:hint="eastAsia" w:ascii="黑体" w:hAnsi="黑体" w:eastAsia="黑体" w:cs="黑体"/>
          <w:b w:val="0"/>
          <w:bCs/>
          <w:lang w:val="en-US" w:eastAsia="zh-CN"/>
        </w:rPr>
      </w:pPr>
      <w:bookmarkStart w:id="46" w:name="_Toc19874"/>
      <w:bookmarkStart w:id="47" w:name="_Toc14328"/>
      <w:r>
        <w:rPr>
          <w:rFonts w:hint="eastAsia" w:ascii="黑体" w:hAnsi="黑体" w:eastAsia="黑体" w:cs="黑体"/>
          <w:b w:val="0"/>
          <w:bCs/>
          <w:lang w:val="en-US" w:eastAsia="zh-CN"/>
        </w:rPr>
        <w:t>2、质量指标（15分)</w:t>
      </w:r>
      <w:bookmarkEnd w:id="46"/>
      <w:bookmarkEnd w:id="47"/>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A、物业管理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b/>
          <w:bCs/>
          <w:kern w:val="2"/>
          <w:sz w:val="32"/>
          <w:szCs w:val="32"/>
          <w:lang w:val="en-US" w:eastAsia="zh-CN" w:bidi="ar-SA"/>
        </w:rPr>
        <w:t>保障场馆全年保安、保洁和水电正常。</w:t>
      </w:r>
      <w:r>
        <w:rPr>
          <w:rFonts w:hint="eastAsia" w:ascii="仿宋_GB2312" w:hAnsi="宋体" w:eastAsia="仿宋_GB2312" w:cs="仿宋_GB2312"/>
          <w:kern w:val="2"/>
          <w:sz w:val="32"/>
          <w:szCs w:val="32"/>
          <w:lang w:val="en-US" w:eastAsia="zh-CN" w:bidi="ar-SA"/>
        </w:rPr>
        <w:t>2019年度，第三方服务机构能够按照合同约定事项履行服务义务，验收结果良好，日常维护工作进展顺利，质量达标。设定分值为5分，该项指标得5分。</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维修改造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顶棚钢结构及立柱等维修改造质量合格率。该</w:t>
      </w:r>
      <w:r>
        <w:rPr>
          <w:rFonts w:hint="eastAsia" w:ascii="仿宋_GB2312" w:hAnsi="宋体" w:eastAsia="仿宋_GB2312" w:cs="仿宋_GB2312"/>
          <w:b w:val="0"/>
          <w:kern w:val="2"/>
          <w:sz w:val="32"/>
          <w:szCs w:val="32"/>
          <w:lang w:val="en-US" w:eastAsia="zh-CN" w:bidi="ar-SA"/>
        </w:rPr>
        <w:t>维修改造工程严格按照相关程序进行验收，并出具验收单，验收合格率达100%，质量达标。设定分值为10分，该项指标得10分。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故项目产出质量得15分。</w:t>
      </w:r>
    </w:p>
    <w:p>
      <w:pPr>
        <w:pStyle w:val="5"/>
        <w:keepNext/>
        <w:keepLines/>
        <w:pageBreakBefore w:val="0"/>
        <w:widowControl w:val="0"/>
        <w:numPr>
          <w:ilvl w:val="0"/>
          <w:numId w:val="4"/>
        </w:numPr>
        <w:kinsoku/>
        <w:wordWrap/>
        <w:overflowPunct/>
        <w:topLinePunct w:val="0"/>
        <w:autoSpaceDE/>
        <w:autoSpaceDN/>
        <w:bidi w:val="0"/>
        <w:adjustRightInd/>
        <w:snapToGrid/>
        <w:spacing w:before="0" w:after="0" w:line="500" w:lineRule="exact"/>
        <w:ind w:left="0" w:leftChars="0" w:firstLine="0" w:firstLineChars="0"/>
        <w:textAlignment w:val="auto"/>
        <w:rPr>
          <w:rFonts w:hint="eastAsia" w:ascii="黑体" w:hAnsi="黑体" w:eastAsia="黑体" w:cs="黑体"/>
          <w:b w:val="0"/>
          <w:bCs/>
          <w:szCs w:val="22"/>
          <w:lang w:val="en-US" w:eastAsia="zh-CN"/>
        </w:rPr>
      </w:pPr>
      <w:bookmarkStart w:id="48" w:name="_Toc22737"/>
      <w:r>
        <w:rPr>
          <w:rFonts w:hint="eastAsia" w:ascii="黑体" w:hAnsi="黑体" w:eastAsia="黑体" w:cs="黑体"/>
          <w:b w:val="0"/>
          <w:bCs/>
          <w:szCs w:val="22"/>
          <w:lang w:val="en-US" w:eastAsia="zh-CN"/>
        </w:rPr>
        <w:t>时效指标（5分）</w:t>
      </w:r>
      <w:bookmarkEnd w:id="48"/>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A、物业管理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全年物业保障工作及时完成。</w:t>
      </w:r>
      <w:r>
        <w:rPr>
          <w:rFonts w:hint="eastAsia" w:ascii="仿宋_GB2312" w:hAnsi="宋体" w:eastAsia="仿宋_GB2312" w:cs="仿宋_GB2312"/>
          <w:b w:val="0"/>
          <w:kern w:val="2"/>
          <w:sz w:val="32"/>
          <w:szCs w:val="32"/>
          <w:lang w:val="en-US" w:eastAsia="zh-CN" w:bidi="ar-SA"/>
        </w:rPr>
        <w:t>经核实，没有因为不及时而导致不良事件的发生，全年场馆正常运行。设定分值为2分，该项指标得2分。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B、维修改造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2"/>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顶棚钢结构及立柱等维修改造完工及时率。</w:t>
      </w:r>
      <w:r>
        <w:rPr>
          <w:rFonts w:hint="eastAsia" w:ascii="仿宋_GB2312" w:hAnsi="宋体" w:eastAsia="仿宋_GB2312" w:cs="仿宋_GB2312"/>
          <w:b w:val="0"/>
          <w:kern w:val="2"/>
          <w:sz w:val="32"/>
          <w:szCs w:val="32"/>
          <w:lang w:val="en-US" w:eastAsia="zh-CN" w:bidi="ar-SA"/>
        </w:rPr>
        <w:t>合同施工期为两个月，该项目在规定时间内保质保量的完成了工作。设定分值为3分，该项指标得3分。</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textAlignment w:val="auto"/>
        <w:rPr>
          <w:rFonts w:hint="default" w:ascii="黑体" w:hAnsi="黑体" w:eastAsia="黑体" w:cs="黑体"/>
          <w:b w:val="0"/>
          <w:bCs/>
          <w:szCs w:val="22"/>
          <w:lang w:val="en-US" w:eastAsia="zh-CN"/>
        </w:rPr>
      </w:pPr>
      <w:bookmarkStart w:id="49" w:name="_Toc29421"/>
      <w:r>
        <w:rPr>
          <w:rFonts w:hint="eastAsia" w:ascii="黑体" w:hAnsi="黑体" w:eastAsia="黑体" w:cs="黑体"/>
          <w:b w:val="0"/>
          <w:bCs/>
          <w:szCs w:val="22"/>
          <w:lang w:val="en-US" w:eastAsia="zh-CN"/>
        </w:rPr>
        <w:t>4、成本指标（10分）</w:t>
      </w:r>
      <w:bookmarkEnd w:id="49"/>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A、物业管理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 xml:space="preserve">   </w:t>
      </w:r>
      <w:r>
        <w:rPr>
          <w:rFonts w:hint="eastAsia" w:ascii="仿宋_GB2312" w:hAnsi="宋体" w:eastAsia="仿宋_GB2312" w:cs="仿宋_GB2312"/>
          <w:b/>
          <w:bCs/>
          <w:kern w:val="2"/>
          <w:sz w:val="32"/>
          <w:szCs w:val="32"/>
          <w:lang w:val="en-US" w:eastAsia="zh-CN" w:bidi="ar-SA"/>
        </w:rPr>
        <w:t>物业管理成本控制。</w:t>
      </w:r>
      <w:r>
        <w:rPr>
          <w:rFonts w:hint="eastAsia" w:ascii="仿宋_GB2312" w:hAnsi="宋体" w:eastAsia="仿宋_GB2312" w:cs="仿宋_GB2312"/>
          <w:b w:val="0"/>
          <w:kern w:val="2"/>
          <w:sz w:val="32"/>
          <w:szCs w:val="32"/>
          <w:lang w:val="en-US" w:eastAsia="zh-CN" w:bidi="ar-SA"/>
        </w:rPr>
        <w:t>成本节约率=（预算成本-实际成本）/预算成本，物业管理费预算成本为15万，实际发生15.4万元，成本节约率大</w:t>
      </w:r>
      <w:bookmarkStart w:id="61" w:name="_GoBack"/>
      <w:bookmarkEnd w:id="61"/>
      <w:r>
        <w:rPr>
          <w:rFonts w:hint="eastAsia" w:ascii="仿宋_GB2312" w:hAnsi="宋体" w:eastAsia="仿宋_GB2312" w:cs="仿宋_GB2312"/>
          <w:b w:val="0"/>
          <w:kern w:val="2"/>
          <w:sz w:val="32"/>
          <w:szCs w:val="32"/>
          <w:lang w:val="en-US" w:eastAsia="zh-CN" w:bidi="ar-SA"/>
        </w:rPr>
        <w:t>于0。设定分值为5分，该项目得4分。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B、维修改造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 xml:space="preserve">    </w:t>
      </w:r>
      <w:r>
        <w:rPr>
          <w:rFonts w:hint="eastAsia" w:ascii="仿宋_GB2312" w:hAnsi="宋体" w:eastAsia="仿宋_GB2312" w:cs="仿宋_GB2312"/>
          <w:b/>
          <w:bCs/>
          <w:kern w:val="2"/>
          <w:sz w:val="32"/>
          <w:szCs w:val="32"/>
          <w:lang w:val="en-US" w:eastAsia="zh-CN" w:bidi="ar-SA"/>
        </w:rPr>
        <w:t>顶棚钢结构及立柱等维修改造成本控制。</w:t>
      </w:r>
      <w:r>
        <w:rPr>
          <w:rFonts w:hint="eastAsia" w:ascii="仿宋_GB2312" w:hAnsi="宋体" w:eastAsia="仿宋_GB2312" w:cs="仿宋_GB2312"/>
          <w:b w:val="0"/>
          <w:kern w:val="2"/>
          <w:sz w:val="32"/>
          <w:szCs w:val="32"/>
          <w:lang w:val="en-US" w:eastAsia="zh-CN" w:bidi="ar-SA"/>
        </w:rPr>
        <w:t>预算成本取合同价款50万，结算支付47.9万，未超额支付，成本控制较好。设定分值为5分，该指标得5分。</w:t>
      </w:r>
    </w:p>
    <w:p>
      <w:pPr>
        <w:pStyle w:val="4"/>
        <w:keepNext/>
        <w:keepLines/>
        <w:pageBreakBefore w:val="0"/>
        <w:widowControl w:val="0"/>
        <w:numPr>
          <w:ilvl w:val="0"/>
          <w:numId w:val="7"/>
        </w:numPr>
        <w:kinsoku/>
        <w:wordWrap/>
        <w:overflowPunct/>
        <w:topLinePunct w:val="0"/>
        <w:autoSpaceDE/>
        <w:autoSpaceDN/>
        <w:bidi w:val="0"/>
        <w:adjustRightInd/>
        <w:snapToGrid/>
        <w:spacing w:before="0" w:after="0" w:line="500" w:lineRule="exact"/>
        <w:textAlignment w:val="auto"/>
        <w:rPr>
          <w:rFonts w:hint="default"/>
          <w:b w:val="0"/>
          <w:bCs/>
          <w:szCs w:val="22"/>
          <w:lang w:val="en-US" w:eastAsia="zh-CN"/>
        </w:rPr>
      </w:pPr>
      <w:bookmarkStart w:id="50" w:name="_Toc19919"/>
      <w:r>
        <w:rPr>
          <w:rFonts w:hint="eastAsia"/>
          <w:b w:val="0"/>
          <w:bCs/>
          <w:szCs w:val="22"/>
          <w:lang w:val="en-US" w:eastAsia="zh-CN"/>
        </w:rPr>
        <w:t>效益指标完成情况分析（30分）</w:t>
      </w:r>
      <w:bookmarkEnd w:id="50"/>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default"/>
          <w:b/>
          <w:bCs w:val="0"/>
          <w:szCs w:val="22"/>
          <w:lang w:val="en-US" w:eastAsia="zh-CN"/>
        </w:rPr>
      </w:pPr>
      <w:bookmarkStart w:id="51" w:name="_Toc27899"/>
      <w:r>
        <w:rPr>
          <w:rFonts w:hint="eastAsia"/>
          <w:b/>
          <w:bCs w:val="0"/>
          <w:szCs w:val="22"/>
          <w:lang w:val="en-US" w:eastAsia="zh-CN"/>
        </w:rPr>
        <w:t>1、经济效益指标（8分）</w:t>
      </w:r>
      <w:bookmarkEnd w:id="51"/>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促进了体育场馆的发展。</w:t>
      </w:r>
      <w:r>
        <w:rPr>
          <w:rFonts w:hint="eastAsia" w:ascii="仿宋_GB2312" w:hAnsi="宋体" w:eastAsia="仿宋_GB2312" w:cs="仿宋_GB2312"/>
          <w:b w:val="0"/>
          <w:kern w:val="2"/>
          <w:sz w:val="32"/>
          <w:szCs w:val="32"/>
          <w:lang w:val="en-US" w:eastAsia="zh-CN" w:bidi="ar-SA"/>
        </w:rPr>
        <w:t>好的物业管理和基础设施为体育场馆面向公众免费低收费开放创造了条件，</w:t>
      </w:r>
      <w:r>
        <w:rPr>
          <w:rFonts w:hint="eastAsia" w:ascii="仿宋_GB2312" w:hAnsi="宋体" w:eastAsia="仿宋_GB2312" w:cs="仿宋_GB2312"/>
          <w:b w:val="0"/>
          <w:bCs w:val="0"/>
          <w:kern w:val="2"/>
          <w:sz w:val="32"/>
          <w:szCs w:val="32"/>
          <w:lang w:val="en-US" w:eastAsia="zh-CN" w:bidi="ar-SA"/>
        </w:rPr>
        <w:t>客观上为体育场馆的运营增加了收益。</w:t>
      </w:r>
      <w:r>
        <w:rPr>
          <w:rFonts w:hint="eastAsia" w:ascii="仿宋_GB2312" w:hAnsi="宋体" w:eastAsia="仿宋_GB2312" w:cs="仿宋_GB2312"/>
          <w:b w:val="0"/>
          <w:kern w:val="2"/>
          <w:sz w:val="32"/>
          <w:szCs w:val="32"/>
          <w:lang w:val="en-US" w:eastAsia="zh-CN" w:bidi="ar-SA"/>
        </w:rPr>
        <w:t>评价组认为该项指标产生的经济效益一般。如果该项目带动体育场馆经济发</w:t>
      </w:r>
      <w:bookmarkStart w:id="52" w:name="_Toc25156_WPSOffice_Level2"/>
      <w:r>
        <w:rPr>
          <w:rFonts w:hint="eastAsia" w:ascii="仿宋_GB2312" w:hAnsi="宋体" w:eastAsia="仿宋_GB2312" w:cs="仿宋_GB2312"/>
          <w:b w:val="0"/>
          <w:kern w:val="2"/>
          <w:sz w:val="32"/>
          <w:szCs w:val="32"/>
          <w:lang w:val="en-US" w:eastAsia="zh-CN" w:bidi="ar-SA"/>
        </w:rPr>
        <w:t>展的效果非常显</w:t>
      </w:r>
      <w:bookmarkEnd w:id="52"/>
      <w:r>
        <w:rPr>
          <w:rFonts w:hint="eastAsia" w:ascii="仿宋_GB2312" w:hAnsi="宋体" w:eastAsia="仿宋_GB2312" w:cs="仿宋_GB2312"/>
          <w:b w:val="0"/>
          <w:kern w:val="2"/>
          <w:sz w:val="32"/>
          <w:szCs w:val="32"/>
          <w:lang w:val="en-US" w:eastAsia="zh-CN" w:bidi="ar-SA"/>
        </w:rPr>
        <w:t>著，则得8分；一般显著，则得5分；不显著，则不得分。设定分值为8分，该指标得5分。</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textAlignment w:val="auto"/>
        <w:rPr>
          <w:rFonts w:hint="eastAsia" w:ascii="黑体" w:hAnsi="黑体" w:eastAsia="黑体" w:cs="黑体"/>
          <w:b w:val="0"/>
          <w:bCs/>
          <w:lang w:val="en-US" w:eastAsia="zh-CN"/>
        </w:rPr>
      </w:pPr>
      <w:bookmarkStart w:id="53" w:name="_Toc15789"/>
      <w:bookmarkStart w:id="54" w:name="_Toc3026"/>
      <w:bookmarkStart w:id="55" w:name="_Toc16368"/>
      <w:r>
        <w:rPr>
          <w:rFonts w:hint="eastAsia" w:ascii="黑体" w:hAnsi="黑体" w:eastAsia="黑体" w:cs="黑体"/>
          <w:b w:val="0"/>
          <w:bCs/>
          <w:lang w:val="en-US" w:eastAsia="zh-CN"/>
        </w:rPr>
        <w:t>2、社会效益指标（10分)</w:t>
      </w:r>
      <w:bookmarkEnd w:id="53"/>
      <w:bookmarkEnd w:id="54"/>
      <w:bookmarkEnd w:id="55"/>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促进群众体育事业发展。</w:t>
      </w:r>
      <w:r>
        <w:rPr>
          <w:rFonts w:hint="eastAsia" w:ascii="仿宋_GB2312" w:hAnsi="宋体" w:eastAsia="仿宋_GB2312" w:cs="仿宋_GB2312"/>
          <w:b w:val="0"/>
          <w:kern w:val="2"/>
          <w:sz w:val="32"/>
          <w:szCs w:val="32"/>
          <w:lang w:val="en-US" w:eastAsia="zh-CN" w:bidi="ar-SA"/>
        </w:rPr>
        <w:t>南昌市体育中心场地维护费，保障了场馆正常运行，为全民健身活动的开展提供了场地，满足了人民群众对健身的需求，促进了群众体育事业的发展，契合了习近平总书记提出要把人民健康放在优先发展的战略地位的要求。设定分值为5分，该指标得5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提高了竞技体育水平。</w:t>
      </w:r>
      <w:r>
        <w:rPr>
          <w:rFonts w:hint="eastAsia" w:ascii="仿宋_GB2312" w:hAnsi="宋体" w:eastAsia="仿宋_GB2312" w:cs="仿宋_GB2312"/>
          <w:b w:val="0"/>
          <w:kern w:val="2"/>
          <w:sz w:val="32"/>
          <w:szCs w:val="32"/>
          <w:lang w:val="en-US" w:eastAsia="zh-CN" w:bidi="ar-SA"/>
        </w:rPr>
        <w:t>南昌市体育中心场地维护费的支出，为运动员提供了较好的训练环境，保障了竞技体育活动的开展。设定分值为5分，该指标得5分。</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textAlignment w:val="auto"/>
        <w:rPr>
          <w:rFonts w:hint="eastAsia" w:ascii="黑体" w:hAnsi="黑体" w:eastAsia="黑体" w:cs="黑体"/>
          <w:b w:val="0"/>
          <w:bCs/>
          <w:lang w:val="en-US" w:eastAsia="zh-CN"/>
        </w:rPr>
      </w:pPr>
      <w:bookmarkStart w:id="56" w:name="_Toc18408"/>
      <w:r>
        <w:rPr>
          <w:rFonts w:hint="eastAsia" w:ascii="黑体" w:hAnsi="黑体" w:eastAsia="黑体" w:cs="黑体"/>
          <w:b w:val="0"/>
          <w:bCs/>
          <w:lang w:val="en-US" w:eastAsia="zh-CN"/>
        </w:rPr>
        <w:t>3、生态效益指标（5分)</w:t>
      </w:r>
      <w:bookmarkEnd w:id="56"/>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default"/>
          <w:lang w:val="en-US" w:eastAsia="zh-CN"/>
        </w:rPr>
      </w:pPr>
      <w:r>
        <w:rPr>
          <w:rFonts w:hint="eastAsia" w:ascii="仿宋_GB2312" w:hAnsi="宋体" w:eastAsia="仿宋_GB2312" w:cs="仿宋_GB2312"/>
          <w:b/>
          <w:bCs/>
          <w:kern w:val="2"/>
          <w:sz w:val="32"/>
          <w:szCs w:val="32"/>
          <w:lang w:val="en-US" w:eastAsia="zh-CN" w:bidi="ar-SA"/>
        </w:rPr>
        <w:t>符合生态环境的要求。</w:t>
      </w:r>
      <w:r>
        <w:rPr>
          <w:rFonts w:hint="eastAsia" w:ascii="仿宋_GB2312" w:hAnsi="宋体" w:eastAsia="仿宋_GB2312" w:cs="仿宋_GB2312"/>
          <w:b w:val="0"/>
          <w:bCs w:val="0"/>
          <w:kern w:val="2"/>
          <w:sz w:val="32"/>
          <w:szCs w:val="32"/>
          <w:lang w:val="en-US" w:eastAsia="zh-CN" w:bidi="ar-SA"/>
        </w:rPr>
        <w:t>在物业管理方面，经评价人员实地考察发现场</w:t>
      </w:r>
      <w:bookmarkStart w:id="57" w:name="_Toc2629_WPSOffice_Level1"/>
      <w:r>
        <w:rPr>
          <w:rFonts w:hint="eastAsia" w:ascii="仿宋_GB2312" w:hAnsi="宋体" w:eastAsia="仿宋_GB2312" w:cs="仿宋_GB2312"/>
          <w:b w:val="0"/>
          <w:bCs w:val="0"/>
          <w:kern w:val="2"/>
          <w:sz w:val="32"/>
          <w:szCs w:val="32"/>
          <w:lang w:val="en-US" w:eastAsia="zh-CN" w:bidi="ar-SA"/>
        </w:rPr>
        <w:t>馆环境良好，馆内绿化、清洁、美</w:t>
      </w:r>
      <w:bookmarkEnd w:id="57"/>
      <w:r>
        <w:rPr>
          <w:rFonts w:hint="eastAsia" w:ascii="仿宋_GB2312" w:hAnsi="宋体" w:eastAsia="仿宋_GB2312" w:cs="仿宋_GB2312"/>
          <w:b w:val="0"/>
          <w:bCs w:val="0"/>
          <w:kern w:val="2"/>
          <w:sz w:val="32"/>
          <w:szCs w:val="32"/>
          <w:lang w:val="en-US" w:eastAsia="zh-CN" w:bidi="ar-SA"/>
        </w:rPr>
        <w:t>化三到位；在维修改造方面，项目实施切实做到了安全施工、文明施工，并有效改善了八一体育场馆的生态环境。设定分值为5分，该指标得5分。</w:t>
      </w:r>
    </w:p>
    <w:p>
      <w:pPr>
        <w:pStyle w:val="5"/>
        <w:keepNext/>
        <w:keepLines/>
        <w:pageBreakBefore w:val="0"/>
        <w:widowControl w:val="0"/>
        <w:numPr>
          <w:ilvl w:val="0"/>
          <w:numId w:val="4"/>
        </w:numPr>
        <w:kinsoku/>
        <w:wordWrap/>
        <w:overflowPunct/>
        <w:topLinePunct w:val="0"/>
        <w:autoSpaceDE/>
        <w:autoSpaceDN/>
        <w:bidi w:val="0"/>
        <w:adjustRightInd/>
        <w:snapToGrid/>
        <w:spacing w:before="0" w:after="0" w:line="500" w:lineRule="exact"/>
        <w:ind w:left="0" w:leftChars="0" w:firstLine="0" w:firstLineChars="0"/>
        <w:textAlignment w:val="auto"/>
        <w:rPr>
          <w:rFonts w:hint="eastAsia" w:ascii="黑体" w:hAnsi="黑体" w:eastAsia="黑体" w:cs="黑体"/>
          <w:b w:val="0"/>
          <w:bCs/>
          <w:lang w:val="en-US" w:eastAsia="zh-CN"/>
        </w:rPr>
      </w:pPr>
      <w:bookmarkStart w:id="58" w:name="_Toc24435"/>
      <w:r>
        <w:rPr>
          <w:rFonts w:hint="eastAsia" w:ascii="黑体" w:hAnsi="黑体" w:eastAsia="黑体" w:cs="黑体"/>
          <w:b w:val="0"/>
          <w:bCs/>
          <w:lang w:val="en-US" w:eastAsia="zh-CN"/>
        </w:rPr>
        <w:t>可持续影响指标（7分)</w:t>
      </w:r>
      <w:bookmarkEnd w:id="58"/>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bCs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推动南昌市体育产业全面发展。</w:t>
      </w:r>
      <w:r>
        <w:rPr>
          <w:rFonts w:hint="eastAsia" w:ascii="仿宋_GB2312" w:hAnsi="宋体" w:eastAsia="仿宋_GB2312" w:cs="仿宋_GB2312"/>
          <w:b w:val="0"/>
          <w:bCs w:val="0"/>
          <w:kern w:val="2"/>
          <w:sz w:val="32"/>
          <w:szCs w:val="32"/>
          <w:lang w:val="en-US" w:eastAsia="zh-CN" w:bidi="ar-SA"/>
        </w:rPr>
        <w:t>通过改善场馆训练和生活环境，为运动员训练创造了条件，保障了日常训练活动的开展，提高了运动员竞技水平，推动了江西体育产业的发展。设定分值为7分，该指标得7分。</w:t>
      </w:r>
    </w:p>
    <w:p>
      <w:pPr>
        <w:pStyle w:val="4"/>
        <w:keepNext/>
        <w:keepLines/>
        <w:pageBreakBefore w:val="0"/>
        <w:widowControl w:val="0"/>
        <w:numPr>
          <w:ilvl w:val="0"/>
          <w:numId w:val="7"/>
        </w:numPr>
        <w:kinsoku/>
        <w:wordWrap/>
        <w:overflowPunct/>
        <w:topLinePunct w:val="0"/>
        <w:autoSpaceDE/>
        <w:autoSpaceDN/>
        <w:bidi w:val="0"/>
        <w:adjustRightInd/>
        <w:snapToGrid/>
        <w:spacing w:before="0" w:after="0" w:line="500" w:lineRule="exact"/>
        <w:textAlignment w:val="auto"/>
        <w:rPr>
          <w:rFonts w:hint="default"/>
          <w:b w:val="0"/>
          <w:bCs/>
          <w:szCs w:val="22"/>
          <w:lang w:val="en-US" w:eastAsia="zh-CN"/>
        </w:rPr>
      </w:pPr>
      <w:bookmarkStart w:id="59" w:name="_Toc13452"/>
      <w:r>
        <w:rPr>
          <w:rFonts w:hint="eastAsia"/>
          <w:b w:val="0"/>
          <w:bCs/>
          <w:szCs w:val="22"/>
          <w:lang w:val="en-US" w:eastAsia="zh-CN"/>
        </w:rPr>
        <w:t>满意度指标（10分）</w:t>
      </w:r>
      <w:bookmarkEnd w:id="59"/>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r>
        <w:rPr>
          <w:rFonts w:hint="eastAsia" w:ascii="仿宋_GB2312" w:hAnsi="宋体" w:eastAsia="仿宋_GB2312" w:cs="仿宋_GB2312"/>
          <w:b w:val="0"/>
          <w:bCs w:val="0"/>
          <w:kern w:val="2"/>
          <w:sz w:val="32"/>
          <w:szCs w:val="32"/>
          <w:lang w:val="en-US" w:eastAsia="zh-CN" w:bidi="ar-SA"/>
        </w:rPr>
        <w:t>评价小组采用问卷调查的方式对该指标进行评价。考核南昌市体育中心场地维护费使用效果，问卷取数分为五档：非常满意、满意、比较满意、较不满意、不满意。随机调查体育中心职工、运动员及社会公众，一共发放调查问卷40份，实际收回调查问卷40份，最终结果显示满意度率达93%。设定分值为10分，得分8分。</w:t>
      </w: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黑体" w:hAnsi="黑体" w:eastAsia="黑体" w:cs="黑体"/>
          <w:b w:val="0"/>
          <w:bCs/>
          <w:szCs w:val="22"/>
          <w:lang w:val="en-US" w:eastAsia="zh-CN"/>
        </w:rPr>
      </w:pPr>
      <w:bookmarkStart w:id="60" w:name="_Toc26309"/>
      <w:r>
        <w:rPr>
          <w:rFonts w:hint="eastAsia" w:ascii="黑体" w:hAnsi="黑体" w:eastAsia="黑体" w:cs="黑体"/>
          <w:b w:val="0"/>
          <w:bCs/>
          <w:szCs w:val="22"/>
          <w:lang w:val="en-US" w:eastAsia="zh-CN"/>
        </w:rPr>
        <w:t>五、绩效评价结果应用建议</w:t>
      </w:r>
      <w:bookmarkEnd w:id="60"/>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r>
        <w:rPr>
          <w:rFonts w:hint="eastAsia" w:ascii="仿宋_GB2312" w:hAnsi="宋体" w:eastAsia="仿宋_GB2312" w:cs="仿宋_GB2312"/>
          <w:b w:val="0"/>
          <w:bCs w:val="0"/>
          <w:kern w:val="2"/>
          <w:sz w:val="32"/>
          <w:szCs w:val="32"/>
          <w:lang w:val="en-US" w:eastAsia="zh-CN" w:bidi="ar-SA"/>
        </w:rPr>
        <w:t>绩效评价结果作为财政部门每年安排部门预算的重要依据，为预算编制提供参考。利用绩效监督结果，促进部门增强责任和效益观念，提高财政资金支出决策水平、管理水平和资金使用效果。</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r>
        <w:rPr>
          <w:rFonts w:hint="eastAsia" w:ascii="仿宋_GB2312" w:hAnsi="宋体" w:eastAsia="仿宋_GB2312" w:cs="仿宋_GB2312"/>
          <w:b w:val="0"/>
          <w:bCs w:val="0"/>
          <w:kern w:val="2"/>
          <w:sz w:val="32"/>
          <w:szCs w:val="32"/>
          <w:lang w:val="en-US" w:eastAsia="zh-CN" w:bidi="ar-SA"/>
        </w:rPr>
        <w:t xml:space="preserve">               江西惠普会计师事务所有限责任公司</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b w:val="0"/>
          <w:bCs w:val="0"/>
          <w:kern w:val="2"/>
          <w:sz w:val="32"/>
          <w:szCs w:val="32"/>
          <w:lang w:val="en-US" w:eastAsia="zh-CN" w:bidi="ar-SA"/>
        </w:rPr>
        <w:t xml:space="preserve">                       2020年5月20日</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BC4C9"/>
    <w:multiLevelType w:val="singleLevel"/>
    <w:tmpl w:val="99BBC4C9"/>
    <w:lvl w:ilvl="0" w:tentative="0">
      <w:start w:val="1"/>
      <w:numFmt w:val="chineseCounting"/>
      <w:lvlText w:val="（%1)"/>
      <w:lvlJc w:val="left"/>
      <w:pPr>
        <w:tabs>
          <w:tab w:val="left" w:pos="312"/>
        </w:tabs>
      </w:pPr>
      <w:rPr>
        <w:rFonts w:hint="eastAsia"/>
      </w:rPr>
    </w:lvl>
  </w:abstractNum>
  <w:abstractNum w:abstractNumId="1">
    <w:nsid w:val="BA955BFD"/>
    <w:multiLevelType w:val="singleLevel"/>
    <w:tmpl w:val="BA955BFD"/>
    <w:lvl w:ilvl="0" w:tentative="0">
      <w:start w:val="2"/>
      <w:numFmt w:val="decimal"/>
      <w:suff w:val="nothing"/>
      <w:lvlText w:val="（%1）"/>
      <w:lvlJc w:val="left"/>
    </w:lvl>
  </w:abstractNum>
  <w:abstractNum w:abstractNumId="2">
    <w:nsid w:val="17478350"/>
    <w:multiLevelType w:val="singleLevel"/>
    <w:tmpl w:val="17478350"/>
    <w:lvl w:ilvl="0" w:tentative="0">
      <w:start w:val="1"/>
      <w:numFmt w:val="decimal"/>
      <w:suff w:val="nothing"/>
      <w:lvlText w:val="%1、"/>
      <w:lvlJc w:val="left"/>
    </w:lvl>
  </w:abstractNum>
  <w:abstractNum w:abstractNumId="3">
    <w:nsid w:val="18B95C5F"/>
    <w:multiLevelType w:val="singleLevel"/>
    <w:tmpl w:val="18B95C5F"/>
    <w:lvl w:ilvl="0" w:tentative="0">
      <w:start w:val="2"/>
      <w:numFmt w:val="decimal"/>
      <w:suff w:val="nothing"/>
      <w:lvlText w:val="%1、"/>
      <w:lvlJc w:val="left"/>
    </w:lvl>
  </w:abstractNum>
  <w:abstractNum w:abstractNumId="4">
    <w:nsid w:val="4C5DB9A0"/>
    <w:multiLevelType w:val="singleLevel"/>
    <w:tmpl w:val="4C5DB9A0"/>
    <w:lvl w:ilvl="0" w:tentative="0">
      <w:start w:val="2"/>
      <w:numFmt w:val="chineseCounting"/>
      <w:suff w:val="nothing"/>
      <w:lvlText w:val="（%1）"/>
      <w:lvlJc w:val="left"/>
      <w:rPr>
        <w:rFonts w:hint="eastAsia"/>
      </w:rPr>
    </w:lvl>
  </w:abstractNum>
  <w:abstractNum w:abstractNumId="5">
    <w:nsid w:val="62763A74"/>
    <w:multiLevelType w:val="singleLevel"/>
    <w:tmpl w:val="62763A74"/>
    <w:lvl w:ilvl="0" w:tentative="0">
      <w:start w:val="1"/>
      <w:numFmt w:val="chineseCounting"/>
      <w:suff w:val="nothing"/>
      <w:lvlText w:val="（%1）"/>
      <w:lvlJc w:val="left"/>
      <w:rPr>
        <w:rFonts w:hint="eastAsia"/>
      </w:rPr>
    </w:lvl>
  </w:abstractNum>
  <w:abstractNum w:abstractNumId="6">
    <w:nsid w:val="6BF7D513"/>
    <w:multiLevelType w:val="singleLevel"/>
    <w:tmpl w:val="6BF7D513"/>
    <w:lvl w:ilvl="0" w:tentative="0">
      <w:start w:val="2"/>
      <w:numFmt w:val="upperLetter"/>
      <w:suff w:val="nothing"/>
      <w:lvlText w:val="%1、"/>
      <w:lvlJc w:val="left"/>
    </w:lvl>
  </w:abstractNum>
  <w:abstractNum w:abstractNumId="7">
    <w:nsid w:val="77308165"/>
    <w:multiLevelType w:val="singleLevel"/>
    <w:tmpl w:val="77308165"/>
    <w:lvl w:ilvl="0" w:tentative="0">
      <w:start w:val="1"/>
      <w:numFmt w:val="chineseCounting"/>
      <w:suff w:val="nothing"/>
      <w:lvlText w:val="%1、"/>
      <w:lvlJc w:val="left"/>
      <w:rPr>
        <w:rFonts w:hint="eastAsia"/>
      </w:r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1F32"/>
    <w:rsid w:val="0F6D1F32"/>
    <w:rsid w:val="21722265"/>
    <w:rsid w:val="29BA749F"/>
    <w:rsid w:val="2F5B10A5"/>
    <w:rsid w:val="2F661935"/>
    <w:rsid w:val="37340C63"/>
    <w:rsid w:val="4BC20AF1"/>
    <w:rsid w:val="4F6C3EE7"/>
    <w:rsid w:val="50161DF1"/>
    <w:rsid w:val="52004142"/>
    <w:rsid w:val="5BB72C41"/>
    <w:rsid w:val="66591133"/>
    <w:rsid w:val="6EDD0572"/>
    <w:rsid w:val="6FD50371"/>
    <w:rsid w:val="7F231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2020-05-22T10:12:00Z</dcterms:created>
  <dc:creator>华硕</dc:creator>
  <cp:lastModifiedBy>你是人间的四月天</cp:lastModifiedBy>
  <dcterms:modified xsi:type="dcterms:W3CDTF">2020-08-19T03:18:35Z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